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350A8" w14:textId="77777777" w:rsidR="00F8055C" w:rsidRDefault="00F8055C" w:rsidP="00EF1FC8"/>
    <w:p w14:paraId="3FEB0EA3" w14:textId="518FA541" w:rsidR="005024FE" w:rsidRDefault="00107347" w:rsidP="00EF1FC8">
      <w:r>
        <w:t>DATE:</w:t>
      </w:r>
      <w:r>
        <w:tab/>
      </w:r>
      <w:r>
        <w:tab/>
      </w:r>
      <w:r w:rsidR="00AC0E19">
        <w:t xml:space="preserve">May </w:t>
      </w:r>
      <w:r w:rsidR="00F8055C">
        <w:t>9</w:t>
      </w:r>
      <w:r w:rsidR="005E5279">
        <w:t>, 2023</w:t>
      </w:r>
    </w:p>
    <w:p w14:paraId="00DA88F3" w14:textId="5AC4751E" w:rsidR="00107347" w:rsidRDefault="00107347" w:rsidP="00EF1FC8"/>
    <w:p w14:paraId="638AE44F" w14:textId="1B4EF51F" w:rsidR="00107347" w:rsidRDefault="00107347" w:rsidP="00107347">
      <w:r>
        <w:t xml:space="preserve">TO: </w:t>
      </w:r>
      <w:r>
        <w:tab/>
      </w:r>
      <w:r>
        <w:tab/>
      </w:r>
      <w:r w:rsidRPr="00107347">
        <w:t>Wisconsin Municipal Clerks</w:t>
      </w:r>
    </w:p>
    <w:p w14:paraId="3F1E7875" w14:textId="211B69D5" w:rsidR="00AC0E19" w:rsidRPr="00107347" w:rsidRDefault="00AC0E19" w:rsidP="00107347">
      <w:r>
        <w:tab/>
      </w:r>
      <w:r>
        <w:tab/>
        <w:t>Wisconsin County Clerks</w:t>
      </w:r>
    </w:p>
    <w:p w14:paraId="6265964B" w14:textId="33B7D4F0" w:rsidR="00107347" w:rsidRDefault="00107347" w:rsidP="00107347">
      <w:pPr>
        <w:ind w:left="720" w:firstLine="720"/>
      </w:pPr>
      <w:r w:rsidRPr="00107347">
        <w:t>City of Milwaukee Election Commission</w:t>
      </w:r>
    </w:p>
    <w:p w14:paraId="2E70DCBF" w14:textId="185C4DE4" w:rsidR="00AC0E19" w:rsidRPr="00107347" w:rsidRDefault="00AC0E19" w:rsidP="00107347">
      <w:pPr>
        <w:ind w:left="720" w:firstLine="720"/>
      </w:pPr>
      <w:r>
        <w:t>Milwaukee County Elections Commission</w:t>
      </w:r>
    </w:p>
    <w:p w14:paraId="3DCDEB7F" w14:textId="3ABB1604" w:rsidR="00107347" w:rsidRDefault="00107347" w:rsidP="00EF1FC8">
      <w:r>
        <w:tab/>
      </w:r>
    </w:p>
    <w:p w14:paraId="2BFD58F3" w14:textId="77777777" w:rsidR="00107347" w:rsidRPr="00107347" w:rsidRDefault="00107347" w:rsidP="00107347">
      <w:r>
        <w:t xml:space="preserve">FROM: </w:t>
      </w:r>
      <w:r>
        <w:tab/>
      </w:r>
      <w:r w:rsidRPr="00107347">
        <w:t>Wisconsin Elections Commission</w:t>
      </w:r>
    </w:p>
    <w:p w14:paraId="36485F03" w14:textId="17244159" w:rsidR="00107347" w:rsidRDefault="00107347" w:rsidP="00EF1FC8">
      <w:r w:rsidRPr="00107347">
        <w:tab/>
      </w:r>
      <w:r w:rsidRPr="00107347">
        <w:tab/>
      </w:r>
      <w:r w:rsidRPr="00107347">
        <w:tab/>
      </w:r>
    </w:p>
    <w:p w14:paraId="1D087314" w14:textId="1A177D5B" w:rsidR="00107347" w:rsidRDefault="00107347" w:rsidP="00EF1FC8">
      <w:pPr>
        <w:rPr>
          <w:bCs/>
        </w:rPr>
      </w:pPr>
      <w:r>
        <w:t>SUBJECT:</w:t>
      </w:r>
      <w:r>
        <w:tab/>
        <w:t>202</w:t>
      </w:r>
      <w:r w:rsidR="005E5279">
        <w:t>3</w:t>
      </w:r>
      <w:r>
        <w:t xml:space="preserve"> </w:t>
      </w:r>
      <w:r w:rsidR="005E5279">
        <w:rPr>
          <w:bCs/>
        </w:rPr>
        <w:t>Accessible Voting Equipment</w:t>
      </w:r>
      <w:r w:rsidRPr="00107347">
        <w:rPr>
          <w:bCs/>
        </w:rPr>
        <w:t xml:space="preserve"> Subgrant </w:t>
      </w:r>
      <w:r w:rsidR="004676A7">
        <w:rPr>
          <w:bCs/>
        </w:rPr>
        <w:t xml:space="preserve">Reimbursement </w:t>
      </w:r>
      <w:r w:rsidRPr="00107347">
        <w:rPr>
          <w:bCs/>
        </w:rPr>
        <w:t>Program</w:t>
      </w:r>
      <w:r w:rsidR="00F83A30">
        <w:rPr>
          <w:bCs/>
        </w:rPr>
        <w:t xml:space="preserve">  </w:t>
      </w:r>
    </w:p>
    <w:p w14:paraId="641C3936" w14:textId="09248BEB" w:rsidR="00107347" w:rsidRDefault="00107347" w:rsidP="00EF1FC8">
      <w:pPr>
        <w:rPr>
          <w:bCs/>
        </w:rPr>
      </w:pPr>
    </w:p>
    <w:p w14:paraId="5A187C81" w14:textId="77777777" w:rsidR="000B29C1" w:rsidRDefault="000B29C1" w:rsidP="00EF1FC8">
      <w:pPr>
        <w:rPr>
          <w:bCs/>
        </w:rPr>
      </w:pPr>
    </w:p>
    <w:p w14:paraId="097D9179" w14:textId="6C69EBAA" w:rsidR="00107347" w:rsidRDefault="00107347" w:rsidP="00107347">
      <w:pPr>
        <w:pStyle w:val="ListParagraph"/>
        <w:numPr>
          <w:ilvl w:val="0"/>
          <w:numId w:val="13"/>
        </w:numPr>
      </w:pPr>
      <w:r w:rsidRPr="00530E38">
        <w:rPr>
          <w:b/>
          <w:bCs/>
        </w:rPr>
        <w:t>SUMMARY</w:t>
      </w:r>
      <w:r>
        <w:t>.</w:t>
      </w:r>
      <w:r w:rsidR="009336DF">
        <w:t xml:space="preserve">  On </w:t>
      </w:r>
      <w:r w:rsidR="005E5279">
        <w:t>March 3</w:t>
      </w:r>
      <w:r w:rsidR="009336DF">
        <w:t>, 202</w:t>
      </w:r>
      <w:r w:rsidR="005E5279">
        <w:t>3</w:t>
      </w:r>
      <w:r w:rsidR="009336DF">
        <w:t xml:space="preserve">, </w:t>
      </w:r>
      <w:r w:rsidR="008E14FA">
        <w:t>t</w:t>
      </w:r>
      <w:r w:rsidR="009336DF">
        <w:t xml:space="preserve">he Wisconsin Elections </w:t>
      </w:r>
      <w:r w:rsidR="00F13F76">
        <w:t xml:space="preserve">Commission (WEC) </w:t>
      </w:r>
      <w:r w:rsidR="009336DF">
        <w:t xml:space="preserve">approved the </w:t>
      </w:r>
      <w:r w:rsidR="005E5279">
        <w:t xml:space="preserve">allocation of funds </w:t>
      </w:r>
      <w:r w:rsidR="004676A7">
        <w:t>for</w:t>
      </w:r>
      <w:r w:rsidR="005E5279">
        <w:t xml:space="preserve"> an accessible voting equipment subgrant program. </w:t>
      </w:r>
    </w:p>
    <w:p w14:paraId="4FB1D683" w14:textId="77777777" w:rsidR="00530E38" w:rsidRDefault="00530E38" w:rsidP="00530E38"/>
    <w:p w14:paraId="4444871A" w14:textId="403AD7D3" w:rsidR="00530E38" w:rsidRPr="00530E38" w:rsidRDefault="00107347" w:rsidP="00530E38">
      <w:pPr>
        <w:pStyle w:val="ListParagraph"/>
        <w:numPr>
          <w:ilvl w:val="0"/>
          <w:numId w:val="13"/>
        </w:numPr>
      </w:pPr>
      <w:r w:rsidRPr="00530E38">
        <w:rPr>
          <w:b/>
          <w:bCs/>
        </w:rPr>
        <w:t>BACKGROUND</w:t>
      </w:r>
      <w:r w:rsidR="00530E38">
        <w:t xml:space="preserve">. </w:t>
      </w:r>
      <w:r w:rsidR="00723B5B">
        <w:t>Under t</w:t>
      </w:r>
      <w:r w:rsidR="00530E38" w:rsidRPr="00530E38">
        <w:t>he</w:t>
      </w:r>
      <w:r w:rsidR="00723B5B">
        <w:t xml:space="preserve"> </w:t>
      </w:r>
      <w:r w:rsidR="005E5279" w:rsidRPr="001C29A9">
        <w:rPr>
          <w:rFonts w:eastAsiaTheme="minorHAnsi"/>
          <w:szCs w:val="22"/>
        </w:rPr>
        <w:t xml:space="preserve">Consolidated Appropriations </w:t>
      </w:r>
      <w:r w:rsidR="005E5279">
        <w:rPr>
          <w:rFonts w:eastAsiaTheme="minorHAnsi"/>
          <w:szCs w:val="22"/>
        </w:rPr>
        <w:t>Act of</w:t>
      </w:r>
      <w:r w:rsidR="005E5279" w:rsidRPr="001C29A9">
        <w:rPr>
          <w:rFonts w:eastAsiaTheme="minorHAnsi"/>
          <w:szCs w:val="22"/>
        </w:rPr>
        <w:t xml:space="preserve"> 2023 (Public Law 117-328)</w:t>
      </w:r>
      <w:r w:rsidR="00530E38" w:rsidRPr="00530E38">
        <w:t xml:space="preserve">, the WEC was awarded </w:t>
      </w:r>
      <w:r w:rsidR="008A7070">
        <w:t xml:space="preserve">additional </w:t>
      </w:r>
      <w:r w:rsidR="004676A7">
        <w:t xml:space="preserve">federal </w:t>
      </w:r>
      <w:r w:rsidR="00530E38" w:rsidRPr="00530E38">
        <w:t>funds to “improve the administration of elections for Federal office, including to enhance election technology and make election security improvements.”</w:t>
      </w:r>
      <w:r w:rsidR="008A7070">
        <w:t xml:space="preserve"> The WEC will disburse </w:t>
      </w:r>
      <w:r w:rsidR="00AE2B3C">
        <w:t xml:space="preserve">up to </w:t>
      </w:r>
      <w:r w:rsidR="005E5279">
        <w:t>$350,000</w:t>
      </w:r>
      <w:r w:rsidR="00AE2B3C">
        <w:t xml:space="preserve"> of </w:t>
      </w:r>
      <w:r w:rsidR="008A7070">
        <w:t xml:space="preserve">these </w:t>
      </w:r>
      <w:r w:rsidR="004676A7">
        <w:t xml:space="preserve">federal </w:t>
      </w:r>
      <w:r w:rsidR="008A7070">
        <w:t>funds through the approved 202</w:t>
      </w:r>
      <w:r w:rsidR="005E5279">
        <w:t>3</w:t>
      </w:r>
      <w:r w:rsidR="008A7070">
        <w:t xml:space="preserve"> </w:t>
      </w:r>
      <w:r w:rsidR="005E5279">
        <w:t>Accessible Voting Equipment</w:t>
      </w:r>
      <w:r w:rsidR="008A7070">
        <w:t xml:space="preserve"> Subgrant Program for Municipalities.</w:t>
      </w:r>
      <w:r w:rsidR="00AE2B3C">
        <w:t xml:space="preserve"> Each jurisdiction may receive up to $</w:t>
      </w:r>
      <w:r w:rsidR="005E5279">
        <w:t>750.00</w:t>
      </w:r>
      <w:r w:rsidR="00AE2B3C">
        <w:t xml:space="preserve"> under this subgrant, until allocated funds are depleted.</w:t>
      </w:r>
    </w:p>
    <w:p w14:paraId="38A7A58D" w14:textId="13FFCD82" w:rsidR="00107347" w:rsidRDefault="00107347" w:rsidP="008A7070">
      <w:pPr>
        <w:pStyle w:val="ListParagraph"/>
      </w:pPr>
    </w:p>
    <w:p w14:paraId="59B838DF" w14:textId="462414FE" w:rsidR="008A7070" w:rsidRDefault="008A7070" w:rsidP="00107347">
      <w:pPr>
        <w:pStyle w:val="ListParagraph"/>
        <w:numPr>
          <w:ilvl w:val="0"/>
          <w:numId w:val="13"/>
        </w:numPr>
      </w:pPr>
      <w:r>
        <w:rPr>
          <w:b/>
          <w:bCs/>
        </w:rPr>
        <w:t xml:space="preserve">AUTHORIZED USES.  </w:t>
      </w:r>
      <w:r>
        <w:t xml:space="preserve">Subject to grant conditions, jurisdictions </w:t>
      </w:r>
      <w:r w:rsidR="005E5279">
        <w:t>may request reimbursement for the purchase of approved accessible voting equipment or associated accessories. Approved equipment includes the following devices:</w:t>
      </w:r>
    </w:p>
    <w:p w14:paraId="11F3213F" w14:textId="77777777" w:rsidR="005E5279" w:rsidRPr="00E16F38" w:rsidRDefault="005E5279" w:rsidP="00E16F38">
      <w:pPr>
        <w:ind w:left="360"/>
        <w:rPr>
          <w:sz w:val="6"/>
          <w:szCs w:val="2"/>
        </w:rPr>
      </w:pPr>
    </w:p>
    <w:tbl>
      <w:tblPr>
        <w:tblW w:w="9540" w:type="dxa"/>
        <w:tblInd w:w="6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0"/>
      </w:tblGrid>
      <w:tr w:rsidR="005E5279" w14:paraId="50CC5553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FCE84E0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Clear Ballot </w:t>
            </w:r>
            <w:proofErr w:type="spellStart"/>
            <w:r>
              <w:rPr>
                <w:color w:val="000000"/>
              </w:rPr>
              <w:t>ClearAccess</w:t>
            </w:r>
            <w:proofErr w:type="spellEnd"/>
            <w:r>
              <w:rPr>
                <w:color w:val="000000"/>
              </w:rPr>
              <w:t xml:space="preserve"> 2.0.1</w:t>
            </w:r>
          </w:p>
        </w:tc>
      </w:tr>
      <w:tr w:rsidR="005E5279" w14:paraId="6951507D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F223B9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Dominion Voting - </w:t>
            </w:r>
            <w:proofErr w:type="spellStart"/>
            <w:r>
              <w:rPr>
                <w:color w:val="000000"/>
              </w:rPr>
              <w:t>ImageCast</w:t>
            </w:r>
            <w:proofErr w:type="spellEnd"/>
            <w:r>
              <w:rPr>
                <w:color w:val="000000"/>
              </w:rPr>
              <w:t xml:space="preserve"> Evolution (ICE)</w:t>
            </w:r>
          </w:p>
        </w:tc>
      </w:tr>
      <w:tr w:rsidR="005E5279" w14:paraId="10EE1EE5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9B4E8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Dominion Voting - </w:t>
            </w:r>
            <w:proofErr w:type="spellStart"/>
            <w:r>
              <w:rPr>
                <w:color w:val="000000"/>
              </w:rPr>
              <w:t>ImageCast</w:t>
            </w:r>
            <w:proofErr w:type="spellEnd"/>
            <w:r>
              <w:rPr>
                <w:color w:val="000000"/>
              </w:rPr>
              <w:t xml:space="preserve"> X (ICX) BMD</w:t>
            </w:r>
          </w:p>
        </w:tc>
      </w:tr>
      <w:tr w:rsidR="005E5279" w14:paraId="7207D019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A23FF5A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Dominion Voting - </w:t>
            </w:r>
            <w:proofErr w:type="spellStart"/>
            <w:r>
              <w:rPr>
                <w:color w:val="000000"/>
              </w:rPr>
              <w:t>ImageCast</w:t>
            </w:r>
            <w:proofErr w:type="spellEnd"/>
            <w:r>
              <w:rPr>
                <w:color w:val="000000"/>
              </w:rPr>
              <w:t xml:space="preserve"> X (ICX) VVPAT</w:t>
            </w:r>
          </w:p>
        </w:tc>
      </w:tr>
      <w:tr w:rsidR="005E5279" w14:paraId="58B25561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5CC304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ES&amp;S </w:t>
            </w:r>
            <w:proofErr w:type="spellStart"/>
            <w:r>
              <w:rPr>
                <w:color w:val="000000"/>
              </w:rPr>
              <w:t>ExpressVote</w:t>
            </w:r>
            <w:proofErr w:type="spellEnd"/>
          </w:p>
        </w:tc>
      </w:tr>
      <w:tr w:rsidR="005E5279" w14:paraId="40547894" w14:textId="77777777" w:rsidTr="00F8055C">
        <w:trPr>
          <w:trHeight w:val="300"/>
        </w:trPr>
        <w:tc>
          <w:tcPr>
            <w:tcW w:w="954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D7462BF" w14:textId="77777777" w:rsidR="005E5279" w:rsidRDefault="005E5279" w:rsidP="009D757B">
            <w:pPr>
              <w:rPr>
                <w:color w:val="000000"/>
              </w:rPr>
            </w:pPr>
            <w:r>
              <w:rPr>
                <w:color w:val="000000"/>
              </w:rPr>
              <w:t xml:space="preserve">ES&amp;S </w:t>
            </w:r>
            <w:proofErr w:type="spellStart"/>
            <w:r>
              <w:rPr>
                <w:color w:val="000000"/>
              </w:rPr>
              <w:t>ExpressVote</w:t>
            </w:r>
            <w:proofErr w:type="spellEnd"/>
            <w:r>
              <w:rPr>
                <w:color w:val="000000"/>
              </w:rPr>
              <w:t xml:space="preserve"> Tabulator</w:t>
            </w:r>
          </w:p>
          <w:p w14:paraId="7BCBEA42" w14:textId="77777777" w:rsidR="00F8055C" w:rsidRDefault="00F8055C" w:rsidP="009D757B">
            <w:pPr>
              <w:rPr>
                <w:color w:val="000000"/>
              </w:rPr>
            </w:pPr>
          </w:p>
          <w:p w14:paraId="4C825DC7" w14:textId="0245C9F5" w:rsidR="00F8055C" w:rsidRDefault="00F8055C" w:rsidP="00F8055C">
            <w:pPr>
              <w:ind w:left="-20"/>
              <w:rPr>
                <w:color w:val="000000"/>
              </w:rPr>
            </w:pPr>
            <w:bookmarkStart w:id="0" w:name="_Hlk134452739"/>
            <w:r>
              <w:rPr>
                <w:b/>
                <w:bCs/>
              </w:rPr>
              <w:t xml:space="preserve">Purchases must improve the jurisdiction’s compliance with HAVA accessible voting requirements. </w:t>
            </w:r>
            <w:r>
              <w:t> </w:t>
            </w:r>
            <w:bookmarkEnd w:id="0"/>
            <w:r w:rsidRPr="000E6077">
              <w:t>Jurisdictions are encouraged to consult with WEC staff in advance to confirm a purchase is eligible for the subgrant.  </w:t>
            </w:r>
          </w:p>
        </w:tc>
      </w:tr>
    </w:tbl>
    <w:p w14:paraId="449437E6" w14:textId="2BC3E3A3" w:rsidR="00107347" w:rsidRPr="008A7070" w:rsidRDefault="008A7070" w:rsidP="008A7070">
      <w:r w:rsidRPr="008A7070">
        <w:t xml:space="preserve"> </w:t>
      </w:r>
      <w:r w:rsidR="00107347" w:rsidRPr="008A7070">
        <w:t xml:space="preserve">  </w:t>
      </w:r>
    </w:p>
    <w:p w14:paraId="390E552A" w14:textId="1230B98B" w:rsidR="008A7070" w:rsidRDefault="00107347" w:rsidP="00574AE0">
      <w:pPr>
        <w:pStyle w:val="ListParagraph"/>
        <w:numPr>
          <w:ilvl w:val="0"/>
          <w:numId w:val="13"/>
        </w:numPr>
      </w:pPr>
      <w:r w:rsidRPr="008574BE">
        <w:rPr>
          <w:b/>
          <w:bCs/>
        </w:rPr>
        <w:t>HOW DO JURISDICTIONS APPLY?</w:t>
      </w:r>
      <w:r w:rsidRPr="00107347">
        <w:t xml:space="preserve">  </w:t>
      </w:r>
      <w:r w:rsidR="001C79CA">
        <w:t xml:space="preserve">An authorized representative </w:t>
      </w:r>
      <w:r w:rsidR="008A7070" w:rsidRPr="008A7070">
        <w:t xml:space="preserve">of each jurisdiction must </w:t>
      </w:r>
      <w:r w:rsidR="008574BE">
        <w:t>complete and return</w:t>
      </w:r>
      <w:r w:rsidR="008A7070" w:rsidRPr="008A7070">
        <w:t xml:space="preserve"> a </w:t>
      </w:r>
      <w:r w:rsidR="0038016A">
        <w:t>2</w:t>
      </w:r>
      <w:r w:rsidR="008574BE">
        <w:t>02</w:t>
      </w:r>
      <w:r w:rsidR="005E5279">
        <w:t>3</w:t>
      </w:r>
      <w:r w:rsidR="008574BE">
        <w:t xml:space="preserve"> </w:t>
      </w:r>
      <w:r w:rsidR="005E5279">
        <w:t xml:space="preserve">Accessible Voting Equipment </w:t>
      </w:r>
      <w:r w:rsidR="008574BE">
        <w:t>Subgrant</w:t>
      </w:r>
      <w:r w:rsidR="008A7070" w:rsidRPr="008A7070">
        <w:t xml:space="preserve"> Memorandum of Understanding (MOU)</w:t>
      </w:r>
      <w:r w:rsidR="005E5279">
        <w:t xml:space="preserve">, and copies of receipts or invoices showing the purchase of approved equipment, </w:t>
      </w:r>
      <w:r w:rsidR="008A7070" w:rsidRPr="008A7070">
        <w:t>to the WEC</w:t>
      </w:r>
      <w:r w:rsidR="008574BE">
        <w:t xml:space="preserve"> at </w:t>
      </w:r>
      <w:hyperlink r:id="rId8" w:history="1">
        <w:r w:rsidR="008574BE" w:rsidRPr="00AE7E78">
          <w:rPr>
            <w:rStyle w:val="Hyperlink"/>
          </w:rPr>
          <w:t>elections@wi.gov</w:t>
        </w:r>
      </w:hyperlink>
      <w:r w:rsidR="005E5279">
        <w:t>.</w:t>
      </w:r>
      <w:r w:rsidR="008A7070" w:rsidRPr="008A7070">
        <w:t xml:space="preserve"> </w:t>
      </w:r>
      <w:r w:rsidR="005E5279">
        <w:t xml:space="preserve">Municipalities may receive reimbursement for the actual amount spent, or $750.00, whichever is less.  </w:t>
      </w:r>
      <w:r w:rsidR="00F83A30">
        <w:t xml:space="preserve">Subgrant requests will be processed in the order received until funds are exhausted or June 30, 2024, whichever occurs first.  </w:t>
      </w:r>
      <w:r w:rsidR="00212FE6">
        <w:t>This subgrant is available to municipalities</w:t>
      </w:r>
      <w:r w:rsidR="003B03F5">
        <w:t>, or to counties purchasing equipment on behalf of a municipality, but only one award will be granted per municipality.</w:t>
      </w:r>
      <w:r w:rsidR="00212FE6">
        <w:t xml:space="preserve"> </w:t>
      </w:r>
    </w:p>
    <w:p w14:paraId="51677D7B" w14:textId="77777777" w:rsidR="008574BE" w:rsidRDefault="008574BE" w:rsidP="008574BE"/>
    <w:p w14:paraId="40562B65" w14:textId="4B2B2A15" w:rsidR="00C423F0" w:rsidRDefault="008A7070" w:rsidP="00C423F0">
      <w:pPr>
        <w:pStyle w:val="ListParagraph"/>
        <w:numPr>
          <w:ilvl w:val="0"/>
          <w:numId w:val="13"/>
        </w:numPr>
      </w:pPr>
      <w:r w:rsidRPr="008A7070">
        <w:rPr>
          <w:b/>
          <w:bCs/>
        </w:rPr>
        <w:t>QUESTIONS</w:t>
      </w:r>
      <w:r w:rsidR="00107347" w:rsidRPr="008A7070">
        <w:rPr>
          <w:b/>
          <w:bCs/>
        </w:rPr>
        <w:t>?</w:t>
      </w:r>
      <w:r w:rsidR="00C423F0">
        <w:t xml:space="preserve">  </w:t>
      </w:r>
      <w:r w:rsidR="00C423F0" w:rsidRPr="00C423F0">
        <w:t>Call the WEC Help Desk at 608-261-2028 or e-mail</w:t>
      </w:r>
      <w:r w:rsidR="00C423F0">
        <w:t xml:space="preserve"> </w:t>
      </w:r>
      <w:hyperlink r:id="rId9" w:history="1">
        <w:r w:rsidR="00C423F0" w:rsidRPr="00AE7E78">
          <w:rPr>
            <w:rStyle w:val="Hyperlink"/>
          </w:rPr>
          <w:t>elections@wi.gov</w:t>
        </w:r>
      </w:hyperlink>
      <w:r w:rsidR="00C423F0" w:rsidRPr="00C423F0">
        <w:t>.</w:t>
      </w:r>
    </w:p>
    <w:sectPr w:rsidR="00C423F0" w:rsidSect="00C519CF">
      <w:headerReference w:type="default" r:id="rId10"/>
      <w:headerReference w:type="first" r:id="rId11"/>
      <w:footerReference w:type="first" r:id="rId12"/>
      <w:type w:val="continuous"/>
      <w:pgSz w:w="12240" w:h="15840" w:code="1"/>
      <w:pgMar w:top="432" w:right="720" w:bottom="720" w:left="720" w:header="432" w:footer="381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905B4A" w14:textId="77777777" w:rsidR="00107347" w:rsidRDefault="00107347">
      <w:r>
        <w:separator/>
      </w:r>
    </w:p>
  </w:endnote>
  <w:endnote w:type="continuationSeparator" w:id="0">
    <w:p w14:paraId="1406EDA0" w14:textId="77777777" w:rsidR="00107347" w:rsidRDefault="00107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llerText RomanSC">
    <w:altName w:val="Calibri"/>
    <w:panose1 w:val="00000000000000000000"/>
    <w:charset w:val="00"/>
    <w:family w:val="modern"/>
    <w:notTrueType/>
    <w:pitch w:val="variable"/>
    <w:sig w:usb0="800000AF" w:usb1="50002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D41D3" w14:textId="77777777" w:rsidR="00F8055C" w:rsidRDefault="00F8055C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0130A34E" w14:textId="77777777" w:rsidR="00F8055C" w:rsidRDefault="00F8055C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</w:p>
  <w:p w14:paraId="0AC47B5F" w14:textId="40D331F7" w:rsidR="00201AB2" w:rsidRPr="00DB5FBD" w:rsidRDefault="00201AB2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Wisconsin Elections Commissioners</w:t>
    </w:r>
  </w:p>
  <w:p w14:paraId="2EBDA309" w14:textId="468D0A55" w:rsidR="00201AB2" w:rsidRPr="00DB5FBD" w:rsidRDefault="008D2053" w:rsidP="000A5B1F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 xml:space="preserve">Don M. Millis, chair | Marge </w:t>
    </w:r>
    <w:proofErr w:type="spellStart"/>
    <w:r>
      <w:rPr>
        <w:rFonts w:ascii="Century Gothic" w:hAnsi="Century Gothic"/>
        <w:sz w:val="18"/>
        <w:szCs w:val="18"/>
      </w:rPr>
      <w:t>Bostelmann</w:t>
    </w:r>
    <w:proofErr w:type="spellEnd"/>
    <w:r>
      <w:rPr>
        <w:rFonts w:ascii="Century Gothic" w:hAnsi="Century Gothic"/>
        <w:sz w:val="18"/>
        <w:szCs w:val="18"/>
      </w:rPr>
      <w:t xml:space="preserve"> | </w:t>
    </w:r>
    <w:r w:rsidR="00AC0E19">
      <w:rPr>
        <w:rFonts w:ascii="Century Gothic" w:hAnsi="Century Gothic"/>
        <w:sz w:val="18"/>
        <w:szCs w:val="18"/>
      </w:rPr>
      <w:t xml:space="preserve">Joseph </w:t>
    </w:r>
    <w:proofErr w:type="spellStart"/>
    <w:r w:rsidR="00AC0E19">
      <w:rPr>
        <w:rFonts w:ascii="Century Gothic" w:hAnsi="Century Gothic"/>
        <w:sz w:val="18"/>
        <w:szCs w:val="18"/>
      </w:rPr>
      <w:t>Czarnezki</w:t>
    </w:r>
    <w:proofErr w:type="spellEnd"/>
    <w:r>
      <w:rPr>
        <w:rFonts w:ascii="Century Gothic" w:hAnsi="Century Gothic"/>
        <w:sz w:val="18"/>
        <w:szCs w:val="18"/>
      </w:rPr>
      <w:t xml:space="preserve"> | Ann S. Jacobs </w:t>
    </w:r>
    <w:r w:rsidR="00CC5A4E">
      <w:rPr>
        <w:rFonts w:ascii="Century Gothic" w:hAnsi="Century Gothic"/>
        <w:sz w:val="18"/>
        <w:szCs w:val="18"/>
      </w:rPr>
      <w:t xml:space="preserve">| Robert </w:t>
    </w:r>
    <w:proofErr w:type="spellStart"/>
    <w:r w:rsidR="00CC5A4E">
      <w:rPr>
        <w:rFonts w:ascii="Century Gothic" w:hAnsi="Century Gothic"/>
        <w:sz w:val="18"/>
        <w:szCs w:val="18"/>
      </w:rPr>
      <w:t>Spindell</w:t>
    </w:r>
    <w:proofErr w:type="spellEnd"/>
    <w:r w:rsidR="00201AB2" w:rsidRPr="00DB5FBD">
      <w:rPr>
        <w:rFonts w:ascii="Century Gothic" w:hAnsi="Century Gothic"/>
        <w:sz w:val="18"/>
        <w:szCs w:val="18"/>
      </w:rPr>
      <w:t xml:space="preserve"> | Mark L. Thomsen</w:t>
    </w:r>
  </w:p>
  <w:p w14:paraId="3C245A99" w14:textId="77777777" w:rsidR="00201AB2" w:rsidRPr="00DB5FBD" w:rsidRDefault="00201AB2" w:rsidP="000A5B1F">
    <w:pPr>
      <w:pStyle w:val="Header"/>
      <w:jc w:val="center"/>
      <w:rPr>
        <w:rFonts w:ascii="Century Gothic" w:hAnsi="Century Gothic"/>
        <w:sz w:val="18"/>
        <w:szCs w:val="18"/>
      </w:rPr>
    </w:pPr>
    <w:r w:rsidRPr="00DB5FBD">
      <w:rPr>
        <w:rFonts w:ascii="Century Gothic" w:hAnsi="Century Gothic"/>
        <w:sz w:val="18"/>
        <w:szCs w:val="18"/>
      </w:rPr>
      <w:t>__________________________________________________________________________________________</w:t>
    </w:r>
    <w:r w:rsidR="00DD3C7B">
      <w:rPr>
        <w:rFonts w:ascii="Century Gothic" w:hAnsi="Century Gothic"/>
        <w:sz w:val="18"/>
        <w:szCs w:val="18"/>
      </w:rPr>
      <w:t>____________</w:t>
    </w:r>
    <w:r w:rsidR="000A5B1F">
      <w:rPr>
        <w:rFonts w:ascii="Century Gothic" w:hAnsi="Century Gothic"/>
        <w:sz w:val="18"/>
        <w:szCs w:val="18"/>
      </w:rPr>
      <w:t>___</w:t>
    </w:r>
  </w:p>
  <w:p w14:paraId="59B4809D" w14:textId="77777777" w:rsidR="00201AB2" w:rsidRPr="00DB5FBD" w:rsidRDefault="00201AB2" w:rsidP="00201AB2">
    <w:pPr>
      <w:pStyle w:val="Footer"/>
      <w:jc w:val="center"/>
      <w:rPr>
        <w:rFonts w:ascii="Century Gothic" w:hAnsi="Century Gothic"/>
        <w:i/>
        <w:sz w:val="18"/>
        <w:szCs w:val="18"/>
      </w:rPr>
    </w:pPr>
    <w:r w:rsidRPr="00DB5FBD">
      <w:rPr>
        <w:rFonts w:ascii="Century Gothic" w:hAnsi="Century Gothic"/>
        <w:i/>
        <w:sz w:val="18"/>
        <w:szCs w:val="18"/>
      </w:rPr>
      <w:t>Administrator</w:t>
    </w:r>
  </w:p>
  <w:p w14:paraId="7CB6E97D" w14:textId="77777777" w:rsidR="00201AB2" w:rsidRDefault="00201AB2" w:rsidP="00201AB2">
    <w:pPr>
      <w:pStyle w:val="Footer"/>
      <w:jc w:val="cen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Meagan Wolfe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6466" w14:textId="77777777" w:rsidR="00107347" w:rsidRDefault="00107347">
      <w:r>
        <w:separator/>
      </w:r>
    </w:p>
  </w:footnote>
  <w:footnote w:type="continuationSeparator" w:id="0">
    <w:p w14:paraId="187C7C27" w14:textId="77777777" w:rsidR="00107347" w:rsidRDefault="001073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D2BB3" w14:textId="0BD26889" w:rsidR="00F8055C" w:rsidRDefault="00F8055C">
    <w:pPr>
      <w:pStyle w:val="Header"/>
      <w:rPr>
        <w:bCs/>
      </w:rPr>
    </w:pPr>
    <w:r>
      <w:t xml:space="preserve">2023 </w:t>
    </w:r>
    <w:r>
      <w:rPr>
        <w:bCs/>
      </w:rPr>
      <w:t>Accessible Voting Equipment</w:t>
    </w:r>
    <w:r w:rsidRPr="00107347">
      <w:rPr>
        <w:bCs/>
      </w:rPr>
      <w:t xml:space="preserve"> Subgrant </w:t>
    </w:r>
    <w:r>
      <w:rPr>
        <w:bCs/>
      </w:rPr>
      <w:t xml:space="preserve">Reimbursement </w:t>
    </w:r>
    <w:r w:rsidRPr="00107347">
      <w:rPr>
        <w:bCs/>
      </w:rPr>
      <w:t>Program</w:t>
    </w:r>
    <w:r>
      <w:rPr>
        <w:bCs/>
      </w:rPr>
      <w:t xml:space="preserve">  </w:t>
    </w:r>
  </w:p>
  <w:p w14:paraId="2200FB01" w14:textId="451176A1" w:rsidR="00F8055C" w:rsidRDefault="00F8055C">
    <w:pPr>
      <w:pStyle w:val="Header"/>
      <w:rPr>
        <w:bCs/>
      </w:rPr>
    </w:pPr>
    <w:r>
      <w:rPr>
        <w:bCs/>
      </w:rPr>
      <w:t>May 9, 2023</w:t>
    </w:r>
  </w:p>
  <w:p w14:paraId="4A00E78A" w14:textId="5231F7B0" w:rsidR="00F8055C" w:rsidRDefault="00F8055C">
    <w:pPr>
      <w:pStyle w:val="Header"/>
      <w:rPr>
        <w:bCs/>
      </w:rPr>
    </w:pPr>
    <w:r>
      <w:rPr>
        <w:bCs/>
      </w:rPr>
      <w:t>Page 2</w:t>
    </w:r>
  </w:p>
  <w:p w14:paraId="61F7EA36" w14:textId="7EE11133" w:rsidR="00F8055C" w:rsidRDefault="00F8055C">
    <w:pPr>
      <w:pStyle w:val="Header"/>
      <w:rPr>
        <w:bCs/>
      </w:rPr>
    </w:pPr>
  </w:p>
  <w:p w14:paraId="1B5DCDD6" w14:textId="77777777" w:rsidR="00F8055C" w:rsidRDefault="00F80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629F" w14:textId="77777777" w:rsidR="00D1608D" w:rsidRPr="0040682F" w:rsidRDefault="0040682F" w:rsidP="003B3165">
    <w:pPr>
      <w:pStyle w:val="Header"/>
      <w:ind w:left="-720" w:right="-720"/>
      <w:jc w:val="center"/>
      <w:rPr>
        <w:sz w:val="32"/>
      </w:rPr>
    </w:pPr>
    <w:r>
      <w:rPr>
        <w:rFonts w:ascii="MillerText RomanSC" w:hAnsi="MillerText RomanSC"/>
        <w:sz w:val="28"/>
      </w:rPr>
      <w:tab/>
    </w:r>
  </w:p>
  <w:p w14:paraId="6E143278" w14:textId="77777777" w:rsidR="005721B0" w:rsidRDefault="00DB5FBD" w:rsidP="003B316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79598729" wp14:editId="7AA32EE5">
              <wp:simplePos x="0" y="0"/>
              <wp:positionH relativeFrom="column">
                <wp:posOffset>1306286</wp:posOffset>
              </wp:positionH>
              <wp:positionV relativeFrom="paragraph">
                <wp:posOffset>2639</wp:posOffset>
              </wp:positionV>
              <wp:extent cx="5302621" cy="896620"/>
              <wp:effectExtent l="0" t="0" r="0" b="0"/>
              <wp:wrapNone/>
              <wp:docPr id="1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02621" cy="896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33399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0FFA9B" w14:textId="77777777" w:rsidR="0040682F" w:rsidRPr="008A1409" w:rsidRDefault="00EC4C08" w:rsidP="00EC4C08">
                          <w:pPr>
                            <w:pStyle w:val="Header"/>
                            <w:ind w:left="-720" w:right="-720"/>
                            <w:jc w:val="center"/>
                            <w:rPr>
                              <w:rFonts w:ascii="Century Gothic" w:hAnsi="Century Gothic"/>
                              <w:sz w:val="4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44"/>
                            </w:rPr>
                            <w:t xml:space="preserve">       </w:t>
                          </w:r>
                          <w:r w:rsidR="005E1917" w:rsidRPr="00EC4C08">
                            <w:rPr>
                              <w:rFonts w:ascii="Century Gothic" w:hAnsi="Century Gothic"/>
                              <w:sz w:val="48"/>
                            </w:rPr>
                            <w:t>Wisconsin Elections Commission</w:t>
                          </w:r>
                        </w:p>
                        <w:p w14:paraId="570DE64C" w14:textId="77777777" w:rsidR="005721B0" w:rsidRPr="008A1409" w:rsidRDefault="005721B0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</w:p>
                        <w:p w14:paraId="4B48D138" w14:textId="77777777" w:rsidR="0040682F" w:rsidRPr="00EC4C08" w:rsidRDefault="00BF6D25" w:rsidP="0040682F">
                          <w:pPr>
                            <w:jc w:val="right"/>
                            <w:rPr>
                              <w:rFonts w:ascii="Century Gothic" w:hAnsi="Century Gothic"/>
                              <w:sz w:val="16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201 West</w:t>
                          </w:r>
                          <w:r w:rsidR="0040682F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Washington Avenue |</w:t>
                          </w:r>
                          <w:r w:rsidR="00D1608D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sz w:val="16"/>
                            </w:rPr>
                            <w:t>Second</w:t>
                          </w:r>
                          <w:r w:rsidR="00D1608D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Floor</w:t>
                          </w:r>
                          <w:r w:rsidR="0040682F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| </w:t>
                          </w:r>
                          <w:r w:rsidR="00FC0081" w:rsidRPr="00EC4C08">
                            <w:rPr>
                              <w:rFonts w:ascii="Century Gothic" w:hAnsi="Century Gothic"/>
                              <w:sz w:val="16"/>
                            </w:rPr>
                            <w:t>P.O.</w:t>
                          </w:r>
                          <w:r w:rsidR="00D1608D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Box 7984</w:t>
                          </w:r>
                          <w:r w:rsidR="00EE5973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="0040682F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| </w:t>
                          </w:r>
                          <w:r w:rsidR="00D1608D" w:rsidRPr="00EC4C08">
                            <w:rPr>
                              <w:rFonts w:ascii="Century Gothic" w:hAnsi="Century Gothic"/>
                              <w:sz w:val="16"/>
                            </w:rPr>
                            <w:t>Madison, WI  53707-7984</w:t>
                          </w:r>
                        </w:p>
                        <w:p w14:paraId="438F227E" w14:textId="77777777" w:rsidR="00D1608D" w:rsidRPr="00EC4C08" w:rsidRDefault="00D1608D" w:rsidP="0040682F">
                          <w:pPr>
                            <w:jc w:val="right"/>
                            <w:rPr>
                              <w:rFonts w:ascii="Century Gothic" w:hAnsi="Century Gothic"/>
                              <w:sz w:val="18"/>
                            </w:rPr>
                          </w:pP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(608) 266-8005</w:t>
                          </w:r>
                          <w:r w:rsidR="00DB5FBD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|</w:t>
                          </w:r>
                          <w:r w:rsidR="0040682F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</w:t>
                          </w:r>
                          <w:r w:rsidR="005E1917" w:rsidRPr="00EC4C08">
                            <w:rPr>
                              <w:rFonts w:ascii="Century Gothic" w:hAnsi="Century Gothic"/>
                              <w:sz w:val="16"/>
                            </w:rPr>
                            <w:t>elections@wi.gov</w:t>
                          </w:r>
                          <w:r w:rsidR="00DB5FBD" w:rsidRPr="00EC4C08">
                            <w:rPr>
                              <w:rFonts w:ascii="Century Gothic" w:hAnsi="Century Gothic"/>
                              <w:sz w:val="16"/>
                            </w:rPr>
                            <w:t xml:space="preserve"> | </w:t>
                          </w:r>
                          <w:r w:rsidR="005E1917" w:rsidRPr="00EC4C08">
                            <w:rPr>
                              <w:rFonts w:ascii="Century Gothic" w:hAnsi="Century Gothic"/>
                              <w:sz w:val="16"/>
                            </w:rPr>
                            <w:t>elections</w:t>
                          </w:r>
                          <w:r w:rsidRPr="00EC4C08">
                            <w:rPr>
                              <w:rFonts w:ascii="Century Gothic" w:hAnsi="Century Gothic"/>
                              <w:sz w:val="16"/>
                            </w:rPr>
                            <w:t>.wi.gov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79598729" id="Rectangle 9" o:spid="_x0000_s1026" style="position:absolute;margin-left:102.85pt;margin-top:.2pt;width:417.55pt;height:7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" o:allowincell="f" stroked="f" strokecolor="#339">
              <v:textbox>
                <w:txbxContent>
                  <w:p w14:paraId="430FFA9B" w14:textId="77777777" w:rsidR="0040682F" w:rsidRPr="008A1409" w:rsidRDefault="00EC4C08" w:rsidP="00EC4C08">
                    <w:pPr>
                      <w:pStyle w:val="Header"/>
                      <w:ind w:left="-720" w:right="-720"/>
                      <w:jc w:val="center"/>
                      <w:rPr>
                        <w:rFonts w:ascii="Century Gothic" w:hAnsi="Century Gothic"/>
                        <w:sz w:val="48"/>
                      </w:rPr>
                    </w:pPr>
                    <w:r>
                      <w:rPr>
                        <w:rFonts w:ascii="Century Gothic" w:hAnsi="Century Gothic"/>
                        <w:sz w:val="44"/>
                      </w:rPr>
                      <w:t xml:space="preserve">       </w:t>
                    </w:r>
                    <w:r w:rsidR="005E1917" w:rsidRPr="00EC4C08">
                      <w:rPr>
                        <w:rFonts w:ascii="Century Gothic" w:hAnsi="Century Gothic"/>
                        <w:sz w:val="48"/>
                      </w:rPr>
                      <w:t>Wisconsin Elections Commission</w:t>
                    </w:r>
                  </w:p>
                  <w:p w14:paraId="570DE64C" w14:textId="77777777" w:rsidR="005721B0" w:rsidRPr="008A1409" w:rsidRDefault="005721B0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</w:p>
                  <w:p w14:paraId="4B48D138" w14:textId="77777777" w:rsidR="0040682F" w:rsidRPr="00EC4C08" w:rsidRDefault="00BF6D25" w:rsidP="0040682F">
                    <w:pPr>
                      <w:jc w:val="right"/>
                      <w:rPr>
                        <w:rFonts w:ascii="Century Gothic" w:hAnsi="Century Gothic"/>
                        <w:sz w:val="16"/>
                      </w:rPr>
                    </w:pPr>
                    <w:r>
                      <w:rPr>
                        <w:rFonts w:ascii="Century Gothic" w:hAnsi="Century Gothic"/>
                        <w:sz w:val="16"/>
                      </w:rPr>
                      <w:t>201 West</w:t>
                    </w:r>
                    <w:r w:rsidR="0040682F" w:rsidRPr="00EC4C08">
                      <w:rPr>
                        <w:rFonts w:ascii="Century Gothic" w:hAnsi="Century Gothic"/>
                        <w:sz w:val="16"/>
                      </w:rPr>
                      <w:t xml:space="preserve"> Washington Avenue |</w:t>
                    </w:r>
                    <w:r w:rsidR="00D1608D" w:rsidRPr="00EC4C08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sz w:val="16"/>
                      </w:rPr>
                      <w:t>Second</w:t>
                    </w:r>
                    <w:r w:rsidR="00D1608D" w:rsidRPr="00EC4C08">
                      <w:rPr>
                        <w:rFonts w:ascii="Century Gothic" w:hAnsi="Century Gothic"/>
                        <w:sz w:val="16"/>
                      </w:rPr>
                      <w:t xml:space="preserve"> Floor</w:t>
                    </w:r>
                    <w:r w:rsidR="0040682F" w:rsidRPr="00EC4C08">
                      <w:rPr>
                        <w:rFonts w:ascii="Century Gothic" w:hAnsi="Century Gothic"/>
                        <w:sz w:val="16"/>
                      </w:rPr>
                      <w:t xml:space="preserve"> | </w:t>
                    </w:r>
                    <w:r w:rsidR="00FC0081" w:rsidRPr="00EC4C08">
                      <w:rPr>
                        <w:rFonts w:ascii="Century Gothic" w:hAnsi="Century Gothic"/>
                        <w:sz w:val="16"/>
                      </w:rPr>
                      <w:t>P.O.</w:t>
                    </w:r>
                    <w:r w:rsidR="00D1608D" w:rsidRPr="00EC4C08">
                      <w:rPr>
                        <w:rFonts w:ascii="Century Gothic" w:hAnsi="Century Gothic"/>
                        <w:sz w:val="16"/>
                      </w:rPr>
                      <w:t xml:space="preserve"> Box 7984</w:t>
                    </w:r>
                    <w:r w:rsidR="00EE5973" w:rsidRPr="00EC4C08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="0040682F" w:rsidRPr="00EC4C08">
                      <w:rPr>
                        <w:rFonts w:ascii="Century Gothic" w:hAnsi="Century Gothic"/>
                        <w:sz w:val="16"/>
                      </w:rPr>
                      <w:t xml:space="preserve">| </w:t>
                    </w:r>
                    <w:r w:rsidR="00D1608D" w:rsidRPr="00EC4C08">
                      <w:rPr>
                        <w:rFonts w:ascii="Century Gothic" w:hAnsi="Century Gothic"/>
                        <w:sz w:val="16"/>
                      </w:rPr>
                      <w:t>Madison, WI  53707-7984</w:t>
                    </w:r>
                  </w:p>
                  <w:p w14:paraId="438F227E" w14:textId="77777777" w:rsidR="00D1608D" w:rsidRPr="00EC4C08" w:rsidRDefault="00D1608D" w:rsidP="0040682F">
                    <w:pPr>
                      <w:jc w:val="right"/>
                      <w:rPr>
                        <w:rFonts w:ascii="Century Gothic" w:hAnsi="Century Gothic"/>
                        <w:sz w:val="18"/>
                      </w:rPr>
                    </w:pPr>
                    <w:r w:rsidRPr="00EC4C08">
                      <w:rPr>
                        <w:rFonts w:ascii="Century Gothic" w:hAnsi="Century Gothic"/>
                        <w:sz w:val="16"/>
                      </w:rPr>
                      <w:t>(608) 266-8005</w:t>
                    </w:r>
                    <w:r w:rsidR="00DB5FBD" w:rsidRPr="00EC4C08">
                      <w:rPr>
                        <w:rFonts w:ascii="Century Gothic" w:hAnsi="Century Gothic"/>
                        <w:sz w:val="16"/>
                      </w:rPr>
                      <w:t xml:space="preserve"> |</w:t>
                    </w:r>
                    <w:r w:rsidR="0040682F" w:rsidRPr="00EC4C08">
                      <w:rPr>
                        <w:rFonts w:ascii="Century Gothic" w:hAnsi="Century Gothic"/>
                        <w:sz w:val="16"/>
                      </w:rPr>
                      <w:t xml:space="preserve"> </w:t>
                    </w:r>
                    <w:r w:rsidR="005E1917" w:rsidRPr="00EC4C08">
                      <w:rPr>
                        <w:rFonts w:ascii="Century Gothic" w:hAnsi="Century Gothic"/>
                        <w:sz w:val="16"/>
                      </w:rPr>
                      <w:t>elections@wi.gov</w:t>
                    </w:r>
                    <w:r w:rsidR="00DB5FBD" w:rsidRPr="00EC4C08">
                      <w:rPr>
                        <w:rFonts w:ascii="Century Gothic" w:hAnsi="Century Gothic"/>
                        <w:sz w:val="16"/>
                      </w:rPr>
                      <w:t xml:space="preserve"> | </w:t>
                    </w:r>
                    <w:r w:rsidR="005E1917" w:rsidRPr="00EC4C08">
                      <w:rPr>
                        <w:rFonts w:ascii="Century Gothic" w:hAnsi="Century Gothic"/>
                        <w:sz w:val="16"/>
                      </w:rPr>
                      <w:t>elections</w:t>
                    </w:r>
                    <w:r w:rsidRPr="00EC4C08">
                      <w:rPr>
                        <w:rFonts w:ascii="Century Gothic" w:hAnsi="Century Gothic"/>
                        <w:sz w:val="16"/>
                      </w:rPr>
                      <w:t>.wi.gov</w:t>
                    </w:r>
                  </w:p>
                </w:txbxContent>
              </v:textbox>
            </v:rect>
          </w:pict>
        </mc:Fallback>
      </mc:AlternateContent>
    </w:r>
    <w:r w:rsidR="00E96299">
      <w:t xml:space="preserve"> </w:t>
    </w:r>
    <w:r>
      <w:t xml:space="preserve">    </w:t>
    </w:r>
    <w:r w:rsidR="00E96299">
      <w:t xml:space="preserve">  </w:t>
    </w:r>
    <w:r w:rsidR="00D56C5A">
      <w:rPr>
        <w:noProof/>
      </w:rPr>
      <w:drawing>
        <wp:inline distT="0" distB="0" distL="0" distR="0" wp14:anchorId="614B02E5" wp14:editId="15BB0733">
          <wp:extent cx="850392" cy="850392"/>
          <wp:effectExtent l="0" t="0" r="6985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EC_Logo_Greysc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392" cy="8503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E11517" w14:textId="77777777" w:rsidR="00D1608D" w:rsidRDefault="00D1608D" w:rsidP="003B3165">
    <w:pPr>
      <w:pStyle w:val="Header"/>
      <w:rPr>
        <w:rFonts w:ascii="MillerText RomanSC" w:hAnsi="MillerText RomanSC"/>
        <w:sz w:val="20"/>
      </w:rPr>
    </w:pPr>
    <w:r w:rsidRPr="005721B0">
      <w:rPr>
        <w:rFonts w:ascii="MillerText RomanSC" w:hAnsi="MillerText RomanSC"/>
        <w:sz w:val="20"/>
      </w:rPr>
      <w:t>__________________________________________________________________________________________</w:t>
    </w:r>
    <w:r w:rsidR="009475D2">
      <w:rPr>
        <w:rFonts w:ascii="MillerText RomanSC" w:hAnsi="MillerText RomanSC"/>
        <w:sz w:val="20"/>
      </w:rPr>
      <w:t>_________________</w:t>
    </w:r>
    <w:r w:rsidR="006579F7">
      <w:rPr>
        <w:rFonts w:ascii="MillerText RomanSC" w:hAnsi="MillerText RomanSC"/>
        <w:sz w:val="20"/>
      </w:rPr>
      <w:softHyphen/>
    </w:r>
    <w:r w:rsidR="006579F7">
      <w:rPr>
        <w:rFonts w:ascii="MillerText RomanSC" w:hAnsi="MillerText RomanSC"/>
        <w:sz w:val="20"/>
      </w:rPr>
      <w:softHyphen/>
    </w:r>
    <w:r w:rsidR="006579F7">
      <w:rPr>
        <w:rFonts w:ascii="MillerText RomanSC" w:hAnsi="MillerText RomanSC"/>
        <w:sz w:val="20"/>
      </w:rPr>
      <w:softHyphen/>
      <w:t>_</w:t>
    </w:r>
  </w:p>
  <w:p w14:paraId="30F2D19F" w14:textId="77777777" w:rsidR="00BA4D12" w:rsidRPr="005721B0" w:rsidRDefault="00BA4D12" w:rsidP="003B3165">
    <w:pPr>
      <w:pStyle w:val="Header"/>
      <w:rPr>
        <w:rFonts w:ascii="MillerText RomanSC" w:hAnsi="MillerText RomanSC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A1342"/>
    <w:multiLevelType w:val="hybridMultilevel"/>
    <w:tmpl w:val="3B2A172E"/>
    <w:lvl w:ilvl="0" w:tplc="80EE9E8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865EE7"/>
    <w:multiLevelType w:val="hybridMultilevel"/>
    <w:tmpl w:val="6CB26294"/>
    <w:lvl w:ilvl="0" w:tplc="3278A3CE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15257A2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803FA5"/>
    <w:multiLevelType w:val="hybridMultilevel"/>
    <w:tmpl w:val="E0FA8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80072"/>
    <w:multiLevelType w:val="hybridMultilevel"/>
    <w:tmpl w:val="9E440D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031FAB"/>
    <w:multiLevelType w:val="hybridMultilevel"/>
    <w:tmpl w:val="13CCD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3106C6"/>
    <w:multiLevelType w:val="hybridMultilevel"/>
    <w:tmpl w:val="F76210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930968"/>
    <w:multiLevelType w:val="hybridMultilevel"/>
    <w:tmpl w:val="BF3A8E3A"/>
    <w:lvl w:ilvl="0" w:tplc="6AA0069A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AA342C"/>
    <w:multiLevelType w:val="hybridMultilevel"/>
    <w:tmpl w:val="544C7D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4ECD"/>
    <w:multiLevelType w:val="hybridMultilevel"/>
    <w:tmpl w:val="8FFC3D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8D824F1"/>
    <w:multiLevelType w:val="hybridMultilevel"/>
    <w:tmpl w:val="442478CE"/>
    <w:lvl w:ilvl="0" w:tplc="2C2AB6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8849D5"/>
    <w:multiLevelType w:val="hybridMultilevel"/>
    <w:tmpl w:val="7B3875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0444A97"/>
    <w:multiLevelType w:val="hybridMultilevel"/>
    <w:tmpl w:val="2BD28044"/>
    <w:lvl w:ilvl="0" w:tplc="0F9417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F705FB"/>
    <w:multiLevelType w:val="hybridMultilevel"/>
    <w:tmpl w:val="2294F2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CE14B19"/>
    <w:multiLevelType w:val="hybridMultilevel"/>
    <w:tmpl w:val="B4862E28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FFC4B5B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775965E0"/>
    <w:multiLevelType w:val="hybridMultilevel"/>
    <w:tmpl w:val="442478C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7409866">
    <w:abstractNumId w:val="0"/>
  </w:num>
  <w:num w:numId="2" w16cid:durableId="708190090">
    <w:abstractNumId w:val="6"/>
  </w:num>
  <w:num w:numId="3" w16cid:durableId="1204632023">
    <w:abstractNumId w:val="13"/>
  </w:num>
  <w:num w:numId="4" w16cid:durableId="1123229844">
    <w:abstractNumId w:val="1"/>
  </w:num>
  <w:num w:numId="5" w16cid:durableId="2121488832">
    <w:abstractNumId w:val="2"/>
  </w:num>
  <w:num w:numId="6" w16cid:durableId="646202025">
    <w:abstractNumId w:val="4"/>
  </w:num>
  <w:num w:numId="7" w16cid:durableId="819154832">
    <w:abstractNumId w:val="10"/>
  </w:num>
  <w:num w:numId="8" w16cid:durableId="461191012">
    <w:abstractNumId w:val="8"/>
  </w:num>
  <w:num w:numId="9" w16cid:durableId="810446302">
    <w:abstractNumId w:val="5"/>
  </w:num>
  <w:num w:numId="10" w16cid:durableId="1749109043">
    <w:abstractNumId w:val="3"/>
  </w:num>
  <w:num w:numId="11" w16cid:durableId="1753815955">
    <w:abstractNumId w:val="7"/>
  </w:num>
  <w:num w:numId="12" w16cid:durableId="1570847597">
    <w:abstractNumId w:val="11"/>
  </w:num>
  <w:num w:numId="13" w16cid:durableId="1868181817">
    <w:abstractNumId w:val="9"/>
  </w:num>
  <w:num w:numId="14" w16cid:durableId="242884118">
    <w:abstractNumId w:val="14"/>
  </w:num>
  <w:num w:numId="15" w16cid:durableId="11069723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347"/>
    <w:rsid w:val="0002137C"/>
    <w:rsid w:val="00021912"/>
    <w:rsid w:val="000451A8"/>
    <w:rsid w:val="00062917"/>
    <w:rsid w:val="00076CEC"/>
    <w:rsid w:val="00083091"/>
    <w:rsid w:val="00095500"/>
    <w:rsid w:val="000A5B1F"/>
    <w:rsid w:val="000B29C1"/>
    <w:rsid w:val="000D2C6E"/>
    <w:rsid w:val="000D6C1B"/>
    <w:rsid w:val="000F23D0"/>
    <w:rsid w:val="00107347"/>
    <w:rsid w:val="001109EA"/>
    <w:rsid w:val="001626DB"/>
    <w:rsid w:val="00165A78"/>
    <w:rsid w:val="001B2390"/>
    <w:rsid w:val="001C79CA"/>
    <w:rsid w:val="00201AB2"/>
    <w:rsid w:val="00210A7C"/>
    <w:rsid w:val="00212FE6"/>
    <w:rsid w:val="002315B9"/>
    <w:rsid w:val="00232363"/>
    <w:rsid w:val="002376A2"/>
    <w:rsid w:val="00242134"/>
    <w:rsid w:val="0026768B"/>
    <w:rsid w:val="002C5124"/>
    <w:rsid w:val="002C5BA5"/>
    <w:rsid w:val="002E04D7"/>
    <w:rsid w:val="002E2C73"/>
    <w:rsid w:val="002F786E"/>
    <w:rsid w:val="00320B72"/>
    <w:rsid w:val="00327CEC"/>
    <w:rsid w:val="00330B03"/>
    <w:rsid w:val="0033461A"/>
    <w:rsid w:val="00336D35"/>
    <w:rsid w:val="0038016A"/>
    <w:rsid w:val="003A059A"/>
    <w:rsid w:val="003B03F5"/>
    <w:rsid w:val="003B1745"/>
    <w:rsid w:val="003B3165"/>
    <w:rsid w:val="003C0162"/>
    <w:rsid w:val="003C3BFB"/>
    <w:rsid w:val="003C418E"/>
    <w:rsid w:val="003E4B8A"/>
    <w:rsid w:val="004014AC"/>
    <w:rsid w:val="0040682F"/>
    <w:rsid w:val="00426F97"/>
    <w:rsid w:val="00437E6D"/>
    <w:rsid w:val="004676A7"/>
    <w:rsid w:val="004863B7"/>
    <w:rsid w:val="004929DD"/>
    <w:rsid w:val="00497A5A"/>
    <w:rsid w:val="004D14D6"/>
    <w:rsid w:val="005024FE"/>
    <w:rsid w:val="00503EF8"/>
    <w:rsid w:val="00530E38"/>
    <w:rsid w:val="005519B8"/>
    <w:rsid w:val="00560796"/>
    <w:rsid w:val="00564C88"/>
    <w:rsid w:val="005721B0"/>
    <w:rsid w:val="005725E9"/>
    <w:rsid w:val="00573AD9"/>
    <w:rsid w:val="005803A9"/>
    <w:rsid w:val="0058688C"/>
    <w:rsid w:val="005A1891"/>
    <w:rsid w:val="005C0935"/>
    <w:rsid w:val="005C7CAD"/>
    <w:rsid w:val="005E1917"/>
    <w:rsid w:val="005E5279"/>
    <w:rsid w:val="00616D8E"/>
    <w:rsid w:val="00620C84"/>
    <w:rsid w:val="006579F7"/>
    <w:rsid w:val="006960E3"/>
    <w:rsid w:val="006A041D"/>
    <w:rsid w:val="006E5B74"/>
    <w:rsid w:val="006F7995"/>
    <w:rsid w:val="00723B5B"/>
    <w:rsid w:val="0074307F"/>
    <w:rsid w:val="00743F52"/>
    <w:rsid w:val="00747869"/>
    <w:rsid w:val="00753377"/>
    <w:rsid w:val="00790A9C"/>
    <w:rsid w:val="007A69E0"/>
    <w:rsid w:val="007B6CF2"/>
    <w:rsid w:val="007C4B9D"/>
    <w:rsid w:val="007F36D8"/>
    <w:rsid w:val="0081554C"/>
    <w:rsid w:val="008214FD"/>
    <w:rsid w:val="008574BE"/>
    <w:rsid w:val="008666F9"/>
    <w:rsid w:val="00871A1A"/>
    <w:rsid w:val="00873872"/>
    <w:rsid w:val="008A1409"/>
    <w:rsid w:val="008A7070"/>
    <w:rsid w:val="008B21D2"/>
    <w:rsid w:val="008D1F7E"/>
    <w:rsid w:val="008D2053"/>
    <w:rsid w:val="008D3A25"/>
    <w:rsid w:val="008E14FA"/>
    <w:rsid w:val="00906CAF"/>
    <w:rsid w:val="00914943"/>
    <w:rsid w:val="0091630C"/>
    <w:rsid w:val="0093029B"/>
    <w:rsid w:val="0093284A"/>
    <w:rsid w:val="009336DF"/>
    <w:rsid w:val="00935A10"/>
    <w:rsid w:val="00941CAE"/>
    <w:rsid w:val="009475D2"/>
    <w:rsid w:val="009A7E31"/>
    <w:rsid w:val="009D73C6"/>
    <w:rsid w:val="00A217D7"/>
    <w:rsid w:val="00A61D67"/>
    <w:rsid w:val="00AB50B9"/>
    <w:rsid w:val="00AC0E19"/>
    <w:rsid w:val="00AE2B3C"/>
    <w:rsid w:val="00AE42B2"/>
    <w:rsid w:val="00AF2B28"/>
    <w:rsid w:val="00B37813"/>
    <w:rsid w:val="00B56AA3"/>
    <w:rsid w:val="00BA4D12"/>
    <w:rsid w:val="00BA6C87"/>
    <w:rsid w:val="00BB50B6"/>
    <w:rsid w:val="00BD52E7"/>
    <w:rsid w:val="00BF2089"/>
    <w:rsid w:val="00BF670C"/>
    <w:rsid w:val="00BF6D25"/>
    <w:rsid w:val="00C00005"/>
    <w:rsid w:val="00C17F61"/>
    <w:rsid w:val="00C354AA"/>
    <w:rsid w:val="00C423F0"/>
    <w:rsid w:val="00C519CF"/>
    <w:rsid w:val="00C56591"/>
    <w:rsid w:val="00C6675D"/>
    <w:rsid w:val="00C7318C"/>
    <w:rsid w:val="00C80A9F"/>
    <w:rsid w:val="00C826A8"/>
    <w:rsid w:val="00CC5A4E"/>
    <w:rsid w:val="00CC7945"/>
    <w:rsid w:val="00CD1691"/>
    <w:rsid w:val="00CE3F06"/>
    <w:rsid w:val="00D03FAB"/>
    <w:rsid w:val="00D1608D"/>
    <w:rsid w:val="00D56367"/>
    <w:rsid w:val="00D56C5A"/>
    <w:rsid w:val="00D57FF2"/>
    <w:rsid w:val="00D71BD0"/>
    <w:rsid w:val="00DA067B"/>
    <w:rsid w:val="00DB5FBD"/>
    <w:rsid w:val="00DC6DCC"/>
    <w:rsid w:val="00DD3C7B"/>
    <w:rsid w:val="00DE4F1B"/>
    <w:rsid w:val="00DE6362"/>
    <w:rsid w:val="00DF343E"/>
    <w:rsid w:val="00E16F38"/>
    <w:rsid w:val="00E4228F"/>
    <w:rsid w:val="00E434E3"/>
    <w:rsid w:val="00E47814"/>
    <w:rsid w:val="00E85FEB"/>
    <w:rsid w:val="00E96299"/>
    <w:rsid w:val="00EA5862"/>
    <w:rsid w:val="00EA64BF"/>
    <w:rsid w:val="00EC4C08"/>
    <w:rsid w:val="00EE5973"/>
    <w:rsid w:val="00EF1FC8"/>
    <w:rsid w:val="00F01949"/>
    <w:rsid w:val="00F13F76"/>
    <w:rsid w:val="00F26912"/>
    <w:rsid w:val="00F35033"/>
    <w:rsid w:val="00F62BDC"/>
    <w:rsid w:val="00F706EF"/>
    <w:rsid w:val="00F70B0D"/>
    <w:rsid w:val="00F71F2F"/>
    <w:rsid w:val="00F75699"/>
    <w:rsid w:val="00F8055C"/>
    <w:rsid w:val="00F83A30"/>
    <w:rsid w:val="00F93DBA"/>
    <w:rsid w:val="00FB2AF1"/>
    <w:rsid w:val="00FC0081"/>
    <w:rsid w:val="00FD0D5C"/>
    <w:rsid w:val="00FD3FFE"/>
    <w:rsid w:val="00FE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14E244"/>
  <w15:docId w15:val="{5AD8DFAF-E0B0-45F6-B9D4-5F3752E62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ind w:left="720" w:right="907"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Normal"/>
    <w:pPr>
      <w:framePr w:w="3840" w:h="1752" w:wrap="notBeside" w:vAnchor="page" w:hAnchor="margin" w:y="889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Salutation">
    <w:name w:val="Salutation"/>
    <w:basedOn w:val="BodyText"/>
    <w:next w:val="Normal"/>
    <w:pPr>
      <w:spacing w:before="220" w:after="220" w:line="220" w:lineRule="atLeast"/>
    </w:pPr>
    <w:rPr>
      <w:spacing w:val="-5"/>
    </w:rPr>
  </w:style>
  <w:style w:type="paragraph" w:customStyle="1" w:styleId="ReturnAddress">
    <w:name w:val="Return Address"/>
    <w:basedOn w:val="Normal"/>
    <w:pPr>
      <w:keepLines/>
      <w:framePr w:w="2866" w:h="965" w:wrap="around" w:vAnchor="page" w:hAnchor="page" w:x="8497" w:y="1873" w:anchorLock="1"/>
      <w:tabs>
        <w:tab w:val="left" w:pos="2160"/>
      </w:tabs>
      <w:spacing w:line="160" w:lineRule="atLeast"/>
      <w:jc w:val="right"/>
    </w:pPr>
    <w:rPr>
      <w:rFonts w:ascii="Arial Black" w:hAnsi="Arial Black"/>
      <w:sz w:val="14"/>
    </w:rPr>
  </w:style>
  <w:style w:type="paragraph" w:styleId="BodyText">
    <w:name w:val="Body Text"/>
    <w:basedOn w:val="Normal"/>
    <w:link w:val="BodyTextChar"/>
    <w:pPr>
      <w:spacing w:after="120"/>
    </w:p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Char">
    <w:name w:val="Body Text Char"/>
    <w:link w:val="BodyText"/>
    <w:rsid w:val="00210A7C"/>
    <w:rPr>
      <w:sz w:val="24"/>
    </w:rPr>
  </w:style>
  <w:style w:type="paragraph" w:styleId="BalloonText">
    <w:name w:val="Balloon Text"/>
    <w:basedOn w:val="Normal"/>
    <w:link w:val="BalloonTextChar"/>
    <w:rsid w:val="006A04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041D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0682F"/>
    <w:rPr>
      <w:sz w:val="24"/>
    </w:rPr>
  </w:style>
  <w:style w:type="paragraph" w:styleId="ListParagraph">
    <w:name w:val="List Paragraph"/>
    <w:basedOn w:val="Normal"/>
    <w:uiPriority w:val="34"/>
    <w:qFormat/>
    <w:rsid w:val="0010734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23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109EA"/>
    <w:rPr>
      <w:sz w:val="24"/>
    </w:rPr>
  </w:style>
  <w:style w:type="character" w:styleId="CommentReference">
    <w:name w:val="annotation reference"/>
    <w:basedOn w:val="DefaultParagraphFont"/>
    <w:semiHidden/>
    <w:unhideWhenUsed/>
    <w:rsid w:val="00F13F76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F13F7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13F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F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F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44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ctions@wi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lections@wi.gov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D39B9-3F78-4A29-BBFB-E1C8669FA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330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Wisconsin \ Elections Board</vt:lpstr>
    </vt:vector>
  </TitlesOfParts>
  <Company>The State of Wisconsin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Wisconsin \ Elections Board</dc:title>
  <dc:creator>Soletski, Dawn - ELECTIONS</dc:creator>
  <cp:lastModifiedBy>Kehoe, Robert Y - ELECTIONS</cp:lastModifiedBy>
  <cp:revision>8</cp:revision>
  <cp:lastPrinted>2019-05-15T19:24:00Z</cp:lastPrinted>
  <dcterms:created xsi:type="dcterms:W3CDTF">2023-04-20T20:08:00Z</dcterms:created>
  <dcterms:modified xsi:type="dcterms:W3CDTF">2023-05-09T20:06:00Z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