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C6737" w14:textId="58306BE4" w:rsidR="00D627DB" w:rsidRDefault="00D627DB" w:rsidP="0090041D">
      <w:pPr>
        <w:jc w:val="center"/>
        <w:rPr>
          <w:b/>
          <w:bCs/>
          <w:sz w:val="28"/>
          <w:szCs w:val="28"/>
        </w:rPr>
      </w:pPr>
    </w:p>
    <w:p w14:paraId="54A7EB89" w14:textId="77777777" w:rsidR="00D627DB" w:rsidRDefault="00D627DB" w:rsidP="0090041D">
      <w:pPr>
        <w:jc w:val="center"/>
        <w:rPr>
          <w:b/>
          <w:bCs/>
          <w:sz w:val="28"/>
          <w:szCs w:val="28"/>
        </w:rPr>
      </w:pPr>
    </w:p>
    <w:p w14:paraId="46FB179C" w14:textId="5687C4F9" w:rsidR="0090041D" w:rsidRPr="00604D1A" w:rsidRDefault="0090041D" w:rsidP="0090041D">
      <w:pPr>
        <w:jc w:val="center"/>
        <w:rPr>
          <w:b/>
          <w:bCs/>
          <w:sz w:val="28"/>
          <w:szCs w:val="28"/>
          <w:u w:val="single"/>
        </w:rPr>
      </w:pPr>
      <w:r w:rsidRPr="00604D1A">
        <w:rPr>
          <w:b/>
          <w:bCs/>
          <w:sz w:val="28"/>
          <w:szCs w:val="28"/>
        </w:rPr>
        <w:t xml:space="preserve">2020 </w:t>
      </w:r>
      <w:r w:rsidR="00C03018">
        <w:rPr>
          <w:b/>
          <w:bCs/>
          <w:sz w:val="28"/>
          <w:szCs w:val="28"/>
        </w:rPr>
        <w:t xml:space="preserve">COUNTY </w:t>
      </w:r>
      <w:r w:rsidRPr="00604D1A">
        <w:rPr>
          <w:b/>
          <w:bCs/>
          <w:sz w:val="28"/>
          <w:szCs w:val="28"/>
        </w:rPr>
        <w:t>CORONAVIRUS AI</w:t>
      </w:r>
      <w:r w:rsidR="008B05FC">
        <w:rPr>
          <w:b/>
          <w:bCs/>
          <w:sz w:val="28"/>
          <w:szCs w:val="28"/>
        </w:rPr>
        <w:t>D</w:t>
      </w:r>
      <w:r w:rsidRPr="00604D1A">
        <w:rPr>
          <w:b/>
          <w:bCs/>
          <w:sz w:val="28"/>
          <w:szCs w:val="28"/>
        </w:rPr>
        <w:t>, RELIEF AND ECONOMIC</w:t>
      </w:r>
      <w:r w:rsidR="008B05FC">
        <w:rPr>
          <w:b/>
          <w:bCs/>
          <w:sz w:val="28"/>
          <w:szCs w:val="28"/>
        </w:rPr>
        <w:t xml:space="preserve"> SECURITY</w:t>
      </w:r>
      <w:r w:rsidRPr="00604D1A">
        <w:rPr>
          <w:b/>
          <w:bCs/>
          <w:sz w:val="28"/>
          <w:szCs w:val="28"/>
        </w:rPr>
        <w:t xml:space="preserve"> (CARES) </w:t>
      </w:r>
      <w:r w:rsidR="00296232">
        <w:rPr>
          <w:b/>
          <w:bCs/>
          <w:sz w:val="28"/>
          <w:szCs w:val="28"/>
        </w:rPr>
        <w:t xml:space="preserve">FOR ELECTIONS </w:t>
      </w:r>
      <w:r w:rsidRPr="00604D1A">
        <w:rPr>
          <w:b/>
          <w:bCs/>
          <w:sz w:val="28"/>
          <w:szCs w:val="28"/>
        </w:rPr>
        <w:t xml:space="preserve">SUBGRANT </w:t>
      </w:r>
      <w:r w:rsidR="00C03018">
        <w:rPr>
          <w:b/>
          <w:bCs/>
          <w:sz w:val="28"/>
          <w:szCs w:val="28"/>
        </w:rPr>
        <w:t xml:space="preserve">REIMBURSEMENT </w:t>
      </w:r>
      <w:r w:rsidRPr="00604D1A">
        <w:rPr>
          <w:b/>
          <w:bCs/>
          <w:sz w:val="28"/>
          <w:szCs w:val="28"/>
        </w:rPr>
        <w:t>PROGRAM</w:t>
      </w:r>
    </w:p>
    <w:p w14:paraId="58A7F577" w14:textId="4903BB37" w:rsidR="00F97402" w:rsidRDefault="00F97402" w:rsidP="0090041D">
      <w:pPr>
        <w:jc w:val="center"/>
        <w:rPr>
          <w:b/>
          <w:bCs/>
          <w:sz w:val="28"/>
          <w:szCs w:val="28"/>
        </w:rPr>
      </w:pPr>
    </w:p>
    <w:p w14:paraId="2F31FBA8" w14:textId="77777777" w:rsidR="00D627DB" w:rsidRPr="00604D1A" w:rsidRDefault="00D627DB" w:rsidP="0090041D">
      <w:pPr>
        <w:jc w:val="center"/>
        <w:rPr>
          <w:b/>
          <w:bCs/>
          <w:sz w:val="28"/>
          <w:szCs w:val="28"/>
        </w:rPr>
      </w:pPr>
    </w:p>
    <w:p w14:paraId="1BFFD486" w14:textId="1F1590E1" w:rsidR="0090041D" w:rsidRPr="00604D1A" w:rsidRDefault="00C03018" w:rsidP="0090041D">
      <w:pPr>
        <w:jc w:val="center"/>
        <w:rPr>
          <w:b/>
          <w:bCs/>
          <w:sz w:val="28"/>
          <w:szCs w:val="28"/>
        </w:rPr>
      </w:pPr>
      <w:r>
        <w:rPr>
          <w:b/>
          <w:bCs/>
          <w:sz w:val="28"/>
          <w:szCs w:val="28"/>
        </w:rPr>
        <w:t xml:space="preserve">COUNTY </w:t>
      </w:r>
      <w:r w:rsidR="00B1170B">
        <w:rPr>
          <w:b/>
          <w:bCs/>
          <w:sz w:val="28"/>
          <w:szCs w:val="28"/>
        </w:rPr>
        <w:t xml:space="preserve">CARES </w:t>
      </w:r>
      <w:r w:rsidR="00296232">
        <w:rPr>
          <w:b/>
          <w:bCs/>
          <w:sz w:val="28"/>
          <w:szCs w:val="28"/>
        </w:rPr>
        <w:t xml:space="preserve">FOR </w:t>
      </w:r>
      <w:r>
        <w:rPr>
          <w:b/>
          <w:bCs/>
          <w:sz w:val="28"/>
          <w:szCs w:val="28"/>
        </w:rPr>
        <w:t xml:space="preserve">ELECTIONS </w:t>
      </w:r>
      <w:r w:rsidR="0090041D">
        <w:rPr>
          <w:b/>
          <w:bCs/>
          <w:sz w:val="28"/>
          <w:szCs w:val="28"/>
        </w:rPr>
        <w:t xml:space="preserve">SUBGRANT </w:t>
      </w:r>
      <w:r>
        <w:rPr>
          <w:b/>
          <w:bCs/>
          <w:sz w:val="28"/>
          <w:szCs w:val="28"/>
        </w:rPr>
        <w:t xml:space="preserve">REIMBURSEMENT </w:t>
      </w:r>
      <w:r w:rsidR="00286F08">
        <w:rPr>
          <w:b/>
          <w:bCs/>
          <w:sz w:val="28"/>
          <w:szCs w:val="28"/>
        </w:rPr>
        <w:t>REQUEST FORM</w:t>
      </w:r>
      <w:r w:rsidR="0090041D">
        <w:rPr>
          <w:b/>
          <w:bCs/>
          <w:sz w:val="28"/>
          <w:szCs w:val="28"/>
        </w:rPr>
        <w:t xml:space="preserve"> AND CERTIFICATION </w:t>
      </w:r>
    </w:p>
    <w:p w14:paraId="4088D3F3" w14:textId="77777777" w:rsidR="0090041D" w:rsidRPr="00604D1A" w:rsidRDefault="0090041D" w:rsidP="0090041D">
      <w:pPr>
        <w:pStyle w:val="Default"/>
      </w:pPr>
    </w:p>
    <w:p w14:paraId="36F707D1" w14:textId="2B902B3B" w:rsidR="00F97402" w:rsidRDefault="00F97402" w:rsidP="0090041D">
      <w:pPr>
        <w:rPr>
          <w:sz w:val="22"/>
          <w:szCs w:val="22"/>
        </w:rPr>
      </w:pPr>
    </w:p>
    <w:p w14:paraId="54D7500C" w14:textId="77777777" w:rsidR="00D627DB" w:rsidRDefault="00D627DB" w:rsidP="0090041D">
      <w:pPr>
        <w:rPr>
          <w:sz w:val="22"/>
          <w:szCs w:val="22"/>
        </w:rPr>
      </w:pPr>
    </w:p>
    <w:p w14:paraId="666964E8" w14:textId="08C409C8" w:rsidR="0090041D" w:rsidRPr="00D627DB" w:rsidRDefault="0090041D" w:rsidP="0090041D">
      <w:pPr>
        <w:rPr>
          <w:szCs w:val="24"/>
        </w:rPr>
      </w:pPr>
      <w:r w:rsidRPr="00D627DB">
        <w:rPr>
          <w:szCs w:val="24"/>
        </w:rPr>
        <w:t xml:space="preserve">The purpose of this </w:t>
      </w:r>
      <w:r w:rsidR="00296232" w:rsidRPr="00D627DB">
        <w:rPr>
          <w:szCs w:val="24"/>
        </w:rPr>
        <w:t>form</w:t>
      </w:r>
      <w:r w:rsidRPr="00D627DB">
        <w:rPr>
          <w:szCs w:val="24"/>
        </w:rPr>
        <w:t xml:space="preserve"> is </w:t>
      </w:r>
      <w:r w:rsidR="00296232" w:rsidRPr="00D627DB">
        <w:rPr>
          <w:szCs w:val="24"/>
        </w:rPr>
        <w:t xml:space="preserve">for jurisdictions </w:t>
      </w:r>
      <w:r w:rsidRPr="00D627DB">
        <w:rPr>
          <w:szCs w:val="24"/>
        </w:rPr>
        <w:t>to</w:t>
      </w:r>
      <w:r w:rsidR="004362DD" w:rsidRPr="00D627DB">
        <w:rPr>
          <w:szCs w:val="24"/>
        </w:rPr>
        <w:t xml:space="preserve"> </w:t>
      </w:r>
      <w:r w:rsidR="00296232" w:rsidRPr="00D627DB">
        <w:rPr>
          <w:szCs w:val="24"/>
        </w:rPr>
        <w:t xml:space="preserve">request reimbursement and to </w:t>
      </w:r>
      <w:r w:rsidRPr="00D627DB">
        <w:rPr>
          <w:szCs w:val="24"/>
        </w:rPr>
        <w:t xml:space="preserve">certify that </w:t>
      </w:r>
      <w:r w:rsidR="00296232" w:rsidRPr="00D627DB">
        <w:rPr>
          <w:szCs w:val="24"/>
        </w:rPr>
        <w:t xml:space="preserve">the expenditures for which </w:t>
      </w:r>
      <w:r w:rsidR="00F650E0" w:rsidRPr="00D627DB">
        <w:rPr>
          <w:szCs w:val="24"/>
        </w:rPr>
        <w:t>the</w:t>
      </w:r>
      <w:r w:rsidRPr="00D627DB">
        <w:rPr>
          <w:szCs w:val="24"/>
        </w:rPr>
        <w:t xml:space="preserve"> jurisdiction </w:t>
      </w:r>
      <w:r w:rsidR="00296232" w:rsidRPr="00D627DB">
        <w:rPr>
          <w:szCs w:val="24"/>
        </w:rPr>
        <w:t xml:space="preserve">is requesting reimbursement </w:t>
      </w:r>
      <w:r w:rsidR="004F1601" w:rsidRPr="00D627DB">
        <w:rPr>
          <w:szCs w:val="24"/>
        </w:rPr>
        <w:t>via</w:t>
      </w:r>
      <w:r w:rsidRPr="00D627DB">
        <w:rPr>
          <w:szCs w:val="24"/>
        </w:rPr>
        <w:t xml:space="preserve"> CARES Subgrant funds </w:t>
      </w:r>
      <w:r w:rsidR="00296232" w:rsidRPr="00D627DB">
        <w:rPr>
          <w:szCs w:val="24"/>
        </w:rPr>
        <w:t xml:space="preserve">are </w:t>
      </w:r>
      <w:r w:rsidRPr="00D627DB">
        <w:rPr>
          <w:szCs w:val="24"/>
        </w:rPr>
        <w:t>solely for costs incurred due to the pandemic affecting the 2020 federal elections and in accordance with the Code of Federal Regulations (CFR) Title 2, and the Wisconsin Election Commission’s (the Commission’s) documentation retention and reporting requirements.</w:t>
      </w:r>
    </w:p>
    <w:p w14:paraId="74510D77" w14:textId="6326BF7D" w:rsidR="0090041D" w:rsidRDefault="0090041D" w:rsidP="0090041D">
      <w:pPr>
        <w:rPr>
          <w:szCs w:val="24"/>
        </w:rPr>
      </w:pPr>
    </w:p>
    <w:p w14:paraId="66A98461" w14:textId="0283CB09" w:rsidR="0090041D" w:rsidRPr="00D627DB" w:rsidRDefault="0090041D" w:rsidP="0090041D">
      <w:pPr>
        <w:pStyle w:val="ListParagraph"/>
        <w:numPr>
          <w:ilvl w:val="0"/>
          <w:numId w:val="12"/>
        </w:numPr>
        <w:ind w:left="630"/>
        <w:rPr>
          <w:rFonts w:ascii="Times New Roman" w:hAnsi="Times New Roman" w:cs="Times New Roman"/>
          <w:szCs w:val="24"/>
        </w:rPr>
      </w:pPr>
      <w:r w:rsidRPr="00D627DB">
        <w:rPr>
          <w:rFonts w:ascii="Times New Roman" w:hAnsi="Times New Roman" w:cs="Times New Roman"/>
          <w:b/>
          <w:bCs/>
          <w:szCs w:val="24"/>
        </w:rPr>
        <w:t xml:space="preserve">ALLOWABLE </w:t>
      </w:r>
      <w:r w:rsidR="004362DD" w:rsidRPr="00D627DB">
        <w:rPr>
          <w:rFonts w:ascii="Times New Roman" w:hAnsi="Times New Roman" w:cs="Times New Roman"/>
          <w:b/>
          <w:bCs/>
          <w:szCs w:val="24"/>
        </w:rPr>
        <w:t>REIMBURSEMENTS</w:t>
      </w:r>
    </w:p>
    <w:p w14:paraId="10486817" w14:textId="77777777" w:rsidR="0090041D" w:rsidRPr="00D627DB" w:rsidRDefault="0090041D" w:rsidP="0090041D">
      <w:pPr>
        <w:pStyle w:val="Default"/>
        <w:ind w:left="1080"/>
      </w:pPr>
    </w:p>
    <w:p w14:paraId="44CDEE95" w14:textId="0A82DA4B" w:rsidR="0090041D" w:rsidRPr="00D627DB" w:rsidRDefault="0090041D" w:rsidP="00EA362A">
      <w:pPr>
        <w:rPr>
          <w:szCs w:val="24"/>
        </w:rPr>
      </w:pPr>
      <w:r w:rsidRPr="00D627DB">
        <w:rPr>
          <w:b/>
          <w:bCs/>
          <w:szCs w:val="24"/>
        </w:rPr>
        <w:t>Purpose of Funds</w:t>
      </w:r>
      <w:r w:rsidRPr="00D627DB">
        <w:rPr>
          <w:szCs w:val="24"/>
        </w:rPr>
        <w:t xml:space="preserve">. The CARES Act makes clear that grant funds are for ADDITIONAL costs associated with the national emergency related to coronavirus and are to be spent </w:t>
      </w:r>
      <w:r w:rsidRPr="00D627DB">
        <w:rPr>
          <w:i/>
          <w:iCs/>
          <w:szCs w:val="24"/>
        </w:rPr>
        <w:t>“to prevent, prepare for, and respond to coronavirus, domestically or internationally, for the 2020 Federal election cycle.</w:t>
      </w:r>
      <w:r w:rsidRPr="00D627DB">
        <w:rPr>
          <w:szCs w:val="24"/>
        </w:rPr>
        <w:t>”  Additional costs are those incurred outside of the jurisdiction’s budgeted costs for the 2020 federal elections</w:t>
      </w:r>
      <w:r w:rsidR="008B05FC" w:rsidRPr="00D627DB">
        <w:rPr>
          <w:szCs w:val="24"/>
        </w:rPr>
        <w:t xml:space="preserve"> or </w:t>
      </w:r>
      <w:r w:rsidR="0061472F" w:rsidRPr="00D627DB">
        <w:rPr>
          <w:szCs w:val="24"/>
        </w:rPr>
        <w:t>election</w:t>
      </w:r>
      <w:r w:rsidR="008B05FC" w:rsidRPr="00D627DB">
        <w:rPr>
          <w:szCs w:val="24"/>
        </w:rPr>
        <w:t xml:space="preserve"> costs that are solely incurred due to the pandemic</w:t>
      </w:r>
      <w:r w:rsidRPr="00D627DB">
        <w:rPr>
          <w:szCs w:val="24"/>
        </w:rPr>
        <w:t xml:space="preserve">. </w:t>
      </w:r>
      <w:r w:rsidR="00596C06" w:rsidRPr="00D627DB">
        <w:rPr>
          <w:szCs w:val="24"/>
        </w:rPr>
        <w:t xml:space="preserve">Not reimbursable are expenditures that have or will be subsidized by another </w:t>
      </w:r>
      <w:r w:rsidR="0060513F" w:rsidRPr="00D627DB">
        <w:rPr>
          <w:szCs w:val="24"/>
        </w:rPr>
        <w:t>source</w:t>
      </w:r>
      <w:r w:rsidR="00596C06" w:rsidRPr="00D627DB">
        <w:rPr>
          <w:szCs w:val="24"/>
        </w:rPr>
        <w:t xml:space="preserve"> (e.g. </w:t>
      </w:r>
      <w:r w:rsidR="004362DD" w:rsidRPr="00D627DB">
        <w:rPr>
          <w:szCs w:val="24"/>
        </w:rPr>
        <w:t xml:space="preserve">municipalities, </w:t>
      </w:r>
      <w:r w:rsidR="00596C06" w:rsidRPr="00D627DB">
        <w:rPr>
          <w:szCs w:val="24"/>
        </w:rPr>
        <w:t>FEMA, Routes to Recovery</w:t>
      </w:r>
      <w:r w:rsidR="0060513F" w:rsidRPr="00D627DB">
        <w:rPr>
          <w:szCs w:val="24"/>
        </w:rPr>
        <w:t>, possible recount</w:t>
      </w:r>
      <w:r w:rsidR="00596C06" w:rsidRPr="00D627DB">
        <w:rPr>
          <w:szCs w:val="24"/>
        </w:rPr>
        <w:t>) or for supplies that WEC has provided.</w:t>
      </w:r>
      <w:r w:rsidR="004362DD" w:rsidRPr="00D627DB">
        <w:rPr>
          <w:szCs w:val="24"/>
        </w:rPr>
        <w:t xml:space="preserve"> </w:t>
      </w:r>
      <w:r w:rsidR="00F97402" w:rsidRPr="00D627DB">
        <w:rPr>
          <w:szCs w:val="22"/>
        </w:rPr>
        <w:t xml:space="preserve">Commission staff will award subgrant reimbursements up to $10,000 per county.  </w:t>
      </w:r>
      <w:proofErr w:type="gramStart"/>
      <w:r w:rsidRPr="00D627DB">
        <w:rPr>
          <w:szCs w:val="24"/>
        </w:rPr>
        <w:t>For the purpose of</w:t>
      </w:r>
      <w:proofErr w:type="gramEnd"/>
      <w:r w:rsidRPr="00D627DB">
        <w:rPr>
          <w:szCs w:val="24"/>
        </w:rPr>
        <w:t xml:space="preserve"> this subgrant, those allowable uses span the period January 20, 2020 through </w:t>
      </w:r>
      <w:r w:rsidR="006419F3" w:rsidRPr="00D627DB">
        <w:rPr>
          <w:szCs w:val="24"/>
        </w:rPr>
        <w:t>November 30</w:t>
      </w:r>
      <w:r w:rsidRPr="00D627DB">
        <w:rPr>
          <w:szCs w:val="24"/>
        </w:rPr>
        <w:t>, 2020 and include the s</w:t>
      </w:r>
      <w:r w:rsidR="000B326B" w:rsidRPr="00D627DB">
        <w:rPr>
          <w:szCs w:val="24"/>
        </w:rPr>
        <w:t>ix</w:t>
      </w:r>
      <w:r w:rsidRPr="00D627DB">
        <w:rPr>
          <w:szCs w:val="24"/>
        </w:rPr>
        <w:t xml:space="preserve"> following categories: </w:t>
      </w:r>
    </w:p>
    <w:p w14:paraId="58FD129C" w14:textId="77777777" w:rsidR="00EA362A" w:rsidRPr="00D627DB" w:rsidRDefault="00EA362A" w:rsidP="00EA362A">
      <w:pPr>
        <w:rPr>
          <w:szCs w:val="24"/>
        </w:rPr>
      </w:pPr>
    </w:p>
    <w:p w14:paraId="2B4694C2" w14:textId="15506567" w:rsidR="0090041D" w:rsidRPr="00D627DB" w:rsidRDefault="0090041D" w:rsidP="0090041D">
      <w:pPr>
        <w:pStyle w:val="Default"/>
        <w:numPr>
          <w:ilvl w:val="0"/>
          <w:numId w:val="13"/>
        </w:numPr>
        <w:spacing w:after="240"/>
      </w:pPr>
      <w:bookmarkStart w:id="0" w:name="_Hlk42522865"/>
      <w:r w:rsidRPr="00D627DB">
        <w:t xml:space="preserve">ADDITIONAL BALLOT COSTS for </w:t>
      </w:r>
      <w:r w:rsidR="00591C09" w:rsidRPr="00D627DB">
        <w:t xml:space="preserve">supporting </w:t>
      </w:r>
      <w:r w:rsidR="00617BF5" w:rsidRPr="00D627DB">
        <w:t>municipalities with</w:t>
      </w:r>
      <w:r w:rsidR="00591C09" w:rsidRPr="00D627DB">
        <w:t xml:space="preserve"> </w:t>
      </w:r>
      <w:r w:rsidRPr="00D627DB">
        <w:t xml:space="preserve">higher levels of absentee </w:t>
      </w:r>
      <w:r w:rsidR="00617BF5" w:rsidRPr="00D627DB">
        <w:t xml:space="preserve">vote by mail </w:t>
      </w:r>
      <w:r w:rsidRPr="00D627DB">
        <w:t xml:space="preserve">processes, including </w:t>
      </w:r>
      <w:r w:rsidR="00617BF5" w:rsidRPr="00D627DB">
        <w:t xml:space="preserve">ballot supplies, printing, postage, </w:t>
      </w:r>
      <w:r w:rsidR="00591C09" w:rsidRPr="00D627DB">
        <w:t>mail drop-boxes</w:t>
      </w:r>
      <w:r w:rsidR="001A6A2C" w:rsidRPr="00D627DB">
        <w:t>,</w:t>
      </w:r>
      <w:r w:rsidR="00591C09" w:rsidRPr="00D627DB">
        <w:t xml:space="preserve"> the installation and security of those drop-boxes, and printers, scanners, envelope openers</w:t>
      </w:r>
      <w:r w:rsidR="001A6A2C" w:rsidRPr="00D627DB">
        <w:t>, and paper folding equipment</w:t>
      </w:r>
      <w:r w:rsidR="00591C09" w:rsidRPr="00D627DB">
        <w:t xml:space="preserve"> </w:t>
      </w:r>
      <w:r w:rsidR="00591C09" w:rsidRPr="00D627DB">
        <w:rPr>
          <w:i/>
          <w:iCs/>
        </w:rPr>
        <w:t>costing less than $5000 per unit</w:t>
      </w:r>
      <w:r w:rsidR="00591C09" w:rsidRPr="00D627DB">
        <w:t>.</w:t>
      </w:r>
    </w:p>
    <w:p w14:paraId="4DC5AD05" w14:textId="4C890E2B" w:rsidR="0090041D" w:rsidRPr="00D627DB" w:rsidRDefault="0090041D" w:rsidP="0090041D">
      <w:pPr>
        <w:pStyle w:val="Default"/>
        <w:numPr>
          <w:ilvl w:val="0"/>
          <w:numId w:val="13"/>
        </w:numPr>
        <w:spacing w:after="240"/>
      </w:pPr>
      <w:r w:rsidRPr="00D627DB">
        <w:t xml:space="preserve">ADDITIONAL CLEANING SUPPLIES, CLEANING SERVICES AND PROTECTIVE EQUIPMENT </w:t>
      </w:r>
      <w:r w:rsidR="00591C09" w:rsidRPr="00D627DB">
        <w:t xml:space="preserve">for elections, </w:t>
      </w:r>
      <w:r w:rsidRPr="00D627DB">
        <w:t xml:space="preserve">including additional disinfectants, wipes, </w:t>
      </w:r>
      <w:r w:rsidRPr="00D627DB">
        <w:lastRenderedPageBreak/>
        <w:t>paper towels, deep cleaning services for polling places pre- and post-election, masks, gloves, gowns, face shields, plexiglass</w:t>
      </w:r>
      <w:r w:rsidR="008B05FC" w:rsidRPr="00D627DB">
        <w:t>, thermometers</w:t>
      </w:r>
      <w:r w:rsidRPr="00D627DB">
        <w:t xml:space="preserve"> and other equipment for staff and poll workers’ virus protection for in-person absentee voting sites, election day polling places and absentee central-count locations. </w:t>
      </w:r>
    </w:p>
    <w:p w14:paraId="338B6ACA" w14:textId="7CBA934F" w:rsidR="0090041D" w:rsidRPr="00D627DB" w:rsidRDefault="0090041D" w:rsidP="0090041D">
      <w:pPr>
        <w:pStyle w:val="Default"/>
        <w:numPr>
          <w:ilvl w:val="0"/>
          <w:numId w:val="13"/>
        </w:numPr>
        <w:spacing w:after="240"/>
      </w:pPr>
      <w:r w:rsidRPr="00D627DB">
        <w:t>ADDITIONAL</w:t>
      </w:r>
      <w:r w:rsidR="006419F3" w:rsidRPr="00D627DB">
        <w:t xml:space="preserve"> ELECTION</w:t>
      </w:r>
      <w:r w:rsidRPr="00D627DB">
        <w:t xml:space="preserve"> STAFFING</w:t>
      </w:r>
      <w:r w:rsidR="006419F3" w:rsidRPr="00D627DB">
        <w:t xml:space="preserve"> for supporting municipalities in the processing </w:t>
      </w:r>
      <w:r w:rsidRPr="00D627DB">
        <w:t>of higher levels of absentee ballot requests and absentee ballot tabulation,</w:t>
      </w:r>
      <w:r w:rsidR="006419F3" w:rsidRPr="00D627DB">
        <w:t xml:space="preserve"> </w:t>
      </w:r>
      <w:r w:rsidR="00CA29F4" w:rsidRPr="00D627DB">
        <w:t xml:space="preserve">for training and time to </w:t>
      </w:r>
      <w:r w:rsidR="001A6A2C" w:rsidRPr="00D627DB">
        <w:t xml:space="preserve">prepare for and to </w:t>
      </w:r>
      <w:r w:rsidR="00CA29F4" w:rsidRPr="00D627DB">
        <w:t>cover vacancies at municipal polling places,</w:t>
      </w:r>
      <w:r w:rsidRPr="00D627DB">
        <w:t xml:space="preserve"> expanded hours</w:t>
      </w:r>
      <w:r w:rsidR="001A6A2C" w:rsidRPr="00D627DB">
        <w:t xml:space="preserve"> and overtime diverted to elections</w:t>
      </w:r>
      <w:r w:rsidRPr="00D627DB">
        <w:t xml:space="preserve">, Hazard Pay and </w:t>
      </w:r>
      <w:r w:rsidR="008B05FC" w:rsidRPr="00D627DB">
        <w:t xml:space="preserve">associated </w:t>
      </w:r>
      <w:r w:rsidRPr="00D627DB">
        <w:t>benefits costs for election staff and poll workers or unbudgeted temporary election staff or poll workers and for additional staffing for cleaning polling locations and creating other protective measures.</w:t>
      </w:r>
      <w:r w:rsidR="00591C09" w:rsidRPr="00D627DB">
        <w:t xml:space="preserve"> Also includes time and mileage (</w:t>
      </w:r>
      <w:r w:rsidR="00591C09" w:rsidRPr="00D627DB">
        <w:rPr>
          <w:i/>
          <w:iCs/>
        </w:rPr>
        <w:t>reimbursed at no greater than the federal mileage reimbursement rate of $0.575 per mile</w:t>
      </w:r>
      <w:r w:rsidR="00591C09" w:rsidRPr="00D627DB">
        <w:t>) spent to distribute PPE and other safety equipment to municipalities.</w:t>
      </w:r>
    </w:p>
    <w:p w14:paraId="068C9649" w14:textId="3DC4B242" w:rsidR="0090041D" w:rsidRPr="00D627DB" w:rsidRDefault="0090041D" w:rsidP="00A069E1">
      <w:pPr>
        <w:pStyle w:val="Default"/>
        <w:numPr>
          <w:ilvl w:val="0"/>
          <w:numId w:val="13"/>
        </w:numPr>
        <w:spacing w:after="240"/>
        <w:ind w:hanging="648"/>
      </w:pPr>
      <w:r w:rsidRPr="00D627DB">
        <w:t>ADDITIONAL MAILINGS FOR</w:t>
      </w:r>
      <w:r w:rsidR="001A6A2C" w:rsidRPr="00D627DB">
        <w:t xml:space="preserve"> </w:t>
      </w:r>
      <w:r w:rsidRPr="00D627DB">
        <w:t>COMMUNICATION</w:t>
      </w:r>
      <w:r w:rsidR="001A6A2C" w:rsidRPr="00D627DB">
        <w:t>S to public and to municipalities concerning</w:t>
      </w:r>
      <w:r w:rsidRPr="00D627DB">
        <w:t xml:space="preserve"> changes in registration, absentee ballot request options, or voting procedures, including information on coronavirus precautions being implemented during the voting process. </w:t>
      </w:r>
    </w:p>
    <w:p w14:paraId="4FA4D397" w14:textId="179B5F8B" w:rsidR="0090041D" w:rsidRPr="00D627DB" w:rsidRDefault="0090041D" w:rsidP="00D627DB">
      <w:pPr>
        <w:pStyle w:val="Default"/>
        <w:numPr>
          <w:ilvl w:val="0"/>
          <w:numId w:val="13"/>
        </w:numPr>
        <w:spacing w:after="240"/>
        <w:ind w:hanging="630"/>
      </w:pPr>
      <w:r w:rsidRPr="00D627DB">
        <w:t xml:space="preserve">ADDITIONAL </w:t>
      </w:r>
      <w:r w:rsidR="002806B7" w:rsidRPr="00D627DB">
        <w:t xml:space="preserve">SPACE </w:t>
      </w:r>
      <w:r w:rsidRPr="00D627DB">
        <w:t xml:space="preserve">LEASING </w:t>
      </w:r>
      <w:r w:rsidR="002806B7" w:rsidRPr="00D627DB">
        <w:t xml:space="preserve">for </w:t>
      </w:r>
      <w:r w:rsidRPr="00D627DB">
        <w:t>new polling places when existing sites are closed or relocated</w:t>
      </w:r>
      <w:r w:rsidR="00244409" w:rsidRPr="00D627DB">
        <w:t xml:space="preserve"> due to the pandemic</w:t>
      </w:r>
      <w:r w:rsidR="001A6A2C" w:rsidRPr="00D627DB">
        <w:t xml:space="preserve"> or for other space leasing needed for the elections and due to the pandemic.</w:t>
      </w:r>
    </w:p>
    <w:p w14:paraId="3494D36D" w14:textId="2F7274E8" w:rsidR="00244409" w:rsidRPr="00D627DB" w:rsidRDefault="0090041D" w:rsidP="00D627DB">
      <w:pPr>
        <w:pStyle w:val="Default"/>
        <w:numPr>
          <w:ilvl w:val="0"/>
          <w:numId w:val="13"/>
        </w:numPr>
        <w:ind w:hanging="630"/>
      </w:pPr>
      <w:r w:rsidRPr="00D627DB">
        <w:t>ACQUISITION OF ADDITIONAL EQUIPMENT necessary to process the higher volume of absentee ballots</w:t>
      </w:r>
      <w:r w:rsidR="00C902DD" w:rsidRPr="00D627DB">
        <w:t>,</w:t>
      </w:r>
      <w:r w:rsidRPr="00D627DB">
        <w:t xml:space="preserve"> includ</w:t>
      </w:r>
      <w:r w:rsidR="00C902DD" w:rsidRPr="00D627DB">
        <w:t>ing</w:t>
      </w:r>
      <w:r w:rsidRPr="00D627DB">
        <w:t xml:space="preserve"> high speed or central count tabulators.  </w:t>
      </w:r>
      <w:r w:rsidR="00244409" w:rsidRPr="00D627DB">
        <w:t xml:space="preserve">(This “Equipment” category defined as </w:t>
      </w:r>
      <w:r w:rsidR="00244409" w:rsidRPr="00D627DB">
        <w:rPr>
          <w:i/>
          <w:iCs/>
        </w:rPr>
        <w:t>costing equal or greater than $5000 per unit</w:t>
      </w:r>
      <w:r w:rsidR="00244409" w:rsidRPr="00D627DB">
        <w:t>. Equipment costs less than $5000 should instead be reported under Additional Ballot Supplies. Additional reporting and documentation are required for allowable equipment purchases as outlined in the below referenced CFR sections.)</w:t>
      </w:r>
      <w:r w:rsidR="00A069E1" w:rsidRPr="00D627DB">
        <w:t xml:space="preserve">  </w:t>
      </w:r>
      <w:r w:rsidR="00244409" w:rsidRPr="00D627DB">
        <w:t>Per the Code of Federal Regulations, Title 2 (2 CFR) §200.33:</w:t>
      </w:r>
    </w:p>
    <w:p w14:paraId="06E67406" w14:textId="77777777" w:rsidR="00A069E1" w:rsidRPr="00D627DB" w:rsidRDefault="00A069E1" w:rsidP="00244409">
      <w:pPr>
        <w:pStyle w:val="Default"/>
        <w:ind w:left="1440"/>
        <w:rPr>
          <w:sz w:val="22"/>
          <w:szCs w:val="22"/>
        </w:rPr>
      </w:pPr>
    </w:p>
    <w:p w14:paraId="5DD4098F" w14:textId="5C10ADC0" w:rsidR="00244409" w:rsidRPr="00D627DB" w:rsidRDefault="00244409" w:rsidP="00244409">
      <w:pPr>
        <w:pStyle w:val="Default"/>
        <w:ind w:left="1440"/>
        <w:rPr>
          <w:sz w:val="22"/>
          <w:szCs w:val="22"/>
        </w:rPr>
      </w:pPr>
      <w:r w:rsidRPr="00D627DB">
        <w:rPr>
          <w:sz w:val="22"/>
          <w:szCs w:val="22"/>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§§200.12 Capital assets, 200.20 Computing devices, 200.48 General purpose equipment, 200.58 Information technology systems, 200.89 Special purpose equipment, and 200.94 Supplies."</w:t>
      </w:r>
    </w:p>
    <w:p w14:paraId="6A8C5FA8" w14:textId="2B51F328" w:rsidR="00F97402" w:rsidRPr="00D627DB" w:rsidRDefault="00F97402" w:rsidP="00244409">
      <w:pPr>
        <w:pStyle w:val="Default"/>
        <w:ind w:left="1440"/>
        <w:rPr>
          <w:sz w:val="22"/>
          <w:szCs w:val="22"/>
        </w:rPr>
      </w:pPr>
    </w:p>
    <w:bookmarkEnd w:id="0"/>
    <w:p w14:paraId="61E7095C" w14:textId="5A9E7164" w:rsidR="0090041D" w:rsidRPr="00D627DB" w:rsidRDefault="0090041D" w:rsidP="0090041D">
      <w:pPr>
        <w:pStyle w:val="ListParagraph"/>
        <w:numPr>
          <w:ilvl w:val="0"/>
          <w:numId w:val="12"/>
        </w:numPr>
        <w:ind w:left="630"/>
        <w:rPr>
          <w:rFonts w:ascii="Times New Roman" w:hAnsi="Times New Roman" w:cs="Times New Roman"/>
          <w:b/>
          <w:bCs/>
          <w:szCs w:val="24"/>
        </w:rPr>
      </w:pPr>
      <w:r w:rsidRPr="00D627DB">
        <w:rPr>
          <w:rFonts w:ascii="Times New Roman" w:hAnsi="Times New Roman" w:cs="Times New Roman"/>
          <w:b/>
          <w:bCs/>
          <w:szCs w:val="24"/>
        </w:rPr>
        <w:t>DOCUMENTATION</w:t>
      </w:r>
      <w:r w:rsidR="000B326B" w:rsidRPr="00D627DB">
        <w:rPr>
          <w:rFonts w:ascii="Times New Roman" w:hAnsi="Times New Roman" w:cs="Times New Roman"/>
          <w:b/>
          <w:bCs/>
          <w:szCs w:val="24"/>
        </w:rPr>
        <w:t xml:space="preserve"> AND </w:t>
      </w:r>
      <w:r w:rsidRPr="00D627DB">
        <w:rPr>
          <w:rFonts w:ascii="Times New Roman" w:hAnsi="Times New Roman" w:cs="Times New Roman"/>
          <w:b/>
          <w:bCs/>
          <w:szCs w:val="24"/>
        </w:rPr>
        <w:t>AUDIT</w:t>
      </w:r>
    </w:p>
    <w:p w14:paraId="775EEA6F" w14:textId="3DC48E53" w:rsidR="0090041D" w:rsidRPr="00D627DB" w:rsidRDefault="0090041D" w:rsidP="0090041D">
      <w:pPr>
        <w:rPr>
          <w:szCs w:val="24"/>
        </w:rPr>
      </w:pPr>
    </w:p>
    <w:p w14:paraId="0F548BBB" w14:textId="5E5C70F2" w:rsidR="0090041D" w:rsidRPr="00D627DB" w:rsidRDefault="0090041D" w:rsidP="0090041D">
      <w:pPr>
        <w:rPr>
          <w:szCs w:val="24"/>
        </w:rPr>
      </w:pPr>
      <w:r w:rsidRPr="00D627DB">
        <w:rPr>
          <w:b/>
          <w:bCs/>
          <w:szCs w:val="24"/>
        </w:rPr>
        <w:t xml:space="preserve">DOCUMENTATION:  </w:t>
      </w:r>
      <w:r w:rsidRPr="00D627DB">
        <w:rPr>
          <w:szCs w:val="24"/>
        </w:rPr>
        <w:t xml:space="preserve">The receiving jurisdiction must maintain all documentation of purchases </w:t>
      </w:r>
      <w:r w:rsidR="004F1601" w:rsidRPr="00D627DB">
        <w:rPr>
          <w:szCs w:val="24"/>
        </w:rPr>
        <w:t>and payments reimbursed with</w:t>
      </w:r>
      <w:r w:rsidRPr="00D627DB">
        <w:rPr>
          <w:szCs w:val="24"/>
        </w:rPr>
        <w:t xml:space="preserve"> </w:t>
      </w:r>
      <w:r w:rsidR="004F1601" w:rsidRPr="00D627DB">
        <w:rPr>
          <w:szCs w:val="24"/>
        </w:rPr>
        <w:t xml:space="preserve">these </w:t>
      </w:r>
      <w:r w:rsidRPr="00D627DB">
        <w:rPr>
          <w:szCs w:val="24"/>
        </w:rPr>
        <w:t xml:space="preserve">subgrant funds until December 31, 2024.  Documentation includes receipts, invoices, </w:t>
      </w:r>
      <w:r w:rsidR="00286F08" w:rsidRPr="00D627DB">
        <w:rPr>
          <w:szCs w:val="24"/>
        </w:rPr>
        <w:t xml:space="preserve">payments, task-specific timesheets, </w:t>
      </w:r>
      <w:r w:rsidRPr="00D627DB">
        <w:rPr>
          <w:szCs w:val="24"/>
        </w:rPr>
        <w:t>payroll reports,</w:t>
      </w:r>
      <w:r w:rsidR="00286F08" w:rsidRPr="00D627DB">
        <w:rPr>
          <w:szCs w:val="24"/>
        </w:rPr>
        <w:t xml:space="preserve"> trip documentation,</w:t>
      </w:r>
      <w:r w:rsidRPr="00D627DB">
        <w:rPr>
          <w:szCs w:val="24"/>
        </w:rPr>
        <w:t xml:space="preserve"> etc. and notations to document </w:t>
      </w:r>
      <w:r w:rsidR="00244409" w:rsidRPr="00D627DB">
        <w:rPr>
          <w:szCs w:val="24"/>
        </w:rPr>
        <w:t>that</w:t>
      </w:r>
      <w:r w:rsidRPr="00D627DB">
        <w:rPr>
          <w:szCs w:val="24"/>
        </w:rPr>
        <w:t xml:space="preserve"> claimed expenditure</w:t>
      </w:r>
      <w:r w:rsidR="00244409" w:rsidRPr="00D627DB">
        <w:rPr>
          <w:szCs w:val="24"/>
        </w:rPr>
        <w:t>s are</w:t>
      </w:r>
      <w:r w:rsidRPr="00D627DB">
        <w:rPr>
          <w:szCs w:val="24"/>
        </w:rPr>
        <w:t xml:space="preserve"> due to the pandemic.</w:t>
      </w:r>
    </w:p>
    <w:p w14:paraId="39812B86" w14:textId="77777777" w:rsidR="0090041D" w:rsidRPr="00D627DB" w:rsidRDefault="0090041D" w:rsidP="0090041D">
      <w:pPr>
        <w:rPr>
          <w:szCs w:val="24"/>
        </w:rPr>
      </w:pPr>
    </w:p>
    <w:p w14:paraId="2B6F7C10" w14:textId="77777777" w:rsidR="0090041D" w:rsidRPr="00D627DB" w:rsidRDefault="0090041D" w:rsidP="0090041D">
      <w:pPr>
        <w:rPr>
          <w:szCs w:val="24"/>
        </w:rPr>
      </w:pPr>
      <w:r w:rsidRPr="00D627DB">
        <w:rPr>
          <w:szCs w:val="24"/>
        </w:rPr>
        <w:t xml:space="preserve">A standard inventory list of all items purchased using subgrant funds must be created and maintained by the jurisdiction for purposes of any state or federal audit.  Such original purchasing documentation and inventory lists shall be retained by the receiving jurisdiction until the WEC authorizes destruction of said records.  </w:t>
      </w:r>
    </w:p>
    <w:p w14:paraId="6EF7371E" w14:textId="77777777" w:rsidR="0090041D" w:rsidRPr="00D627DB" w:rsidRDefault="0090041D" w:rsidP="0090041D">
      <w:pPr>
        <w:rPr>
          <w:szCs w:val="24"/>
        </w:rPr>
      </w:pPr>
    </w:p>
    <w:p w14:paraId="1D0A7AC7" w14:textId="77777777" w:rsidR="0090041D" w:rsidRPr="00D627DB" w:rsidRDefault="0090041D" w:rsidP="0090041D">
      <w:pPr>
        <w:rPr>
          <w:szCs w:val="24"/>
        </w:rPr>
      </w:pPr>
      <w:r w:rsidRPr="00D627DB">
        <w:rPr>
          <w:b/>
          <w:bCs/>
          <w:szCs w:val="24"/>
        </w:rPr>
        <w:t>AUDIT:</w:t>
      </w:r>
      <w:r w:rsidRPr="00D627DB">
        <w:rPr>
          <w:szCs w:val="24"/>
        </w:rPr>
        <w:t xml:space="preserve">  All subgrant funds are subject to audit by the Commission and/or the federal government to ensure funds have been spent appropriately and in accordance with all applicable state and federal laws.  </w:t>
      </w:r>
    </w:p>
    <w:p w14:paraId="3614E7F4" w14:textId="77777777" w:rsidR="0090041D" w:rsidRPr="00D627DB" w:rsidRDefault="0090041D" w:rsidP="0090041D">
      <w:pPr>
        <w:rPr>
          <w:szCs w:val="24"/>
        </w:rPr>
      </w:pPr>
    </w:p>
    <w:p w14:paraId="5B13564D" w14:textId="77777777" w:rsidR="0090041D" w:rsidRPr="00D627DB" w:rsidRDefault="0090041D" w:rsidP="0090041D">
      <w:pPr>
        <w:rPr>
          <w:szCs w:val="24"/>
        </w:rPr>
      </w:pPr>
      <w:r w:rsidRPr="00D627DB">
        <w:rPr>
          <w:szCs w:val="24"/>
        </w:rPr>
        <w:t xml:space="preserve">Pursuant to Wis. Stat. § 5.05(11), if the federal government objects to the use of any funds provided to a municipality under the subgrant, the municipality shall repay the amount of the subgrant to the Commission.        </w:t>
      </w:r>
    </w:p>
    <w:p w14:paraId="0FE2BFF0" w14:textId="77777777" w:rsidR="0090041D" w:rsidRPr="00D627DB" w:rsidRDefault="0090041D" w:rsidP="0090041D">
      <w:pPr>
        <w:rPr>
          <w:szCs w:val="24"/>
        </w:rPr>
      </w:pPr>
    </w:p>
    <w:p w14:paraId="3C861E8F" w14:textId="40CC972E" w:rsidR="0090041D" w:rsidRPr="00D627DB" w:rsidRDefault="0090041D" w:rsidP="0090041D">
      <w:pPr>
        <w:pStyle w:val="ListParagraph"/>
        <w:numPr>
          <w:ilvl w:val="0"/>
          <w:numId w:val="12"/>
        </w:numPr>
        <w:ind w:left="630"/>
        <w:rPr>
          <w:rFonts w:ascii="Times New Roman" w:hAnsi="Times New Roman" w:cs="Times New Roman"/>
          <w:b/>
          <w:bCs/>
          <w:szCs w:val="24"/>
        </w:rPr>
      </w:pPr>
      <w:r w:rsidRPr="00D627DB">
        <w:rPr>
          <w:rFonts w:ascii="Times New Roman" w:hAnsi="Times New Roman" w:cs="Times New Roman"/>
          <w:b/>
          <w:bCs/>
          <w:szCs w:val="24"/>
        </w:rPr>
        <w:t>TIMELINES</w:t>
      </w:r>
    </w:p>
    <w:p w14:paraId="6CB7F1C7" w14:textId="77777777" w:rsidR="003860DC" w:rsidRDefault="0090041D" w:rsidP="003860DC">
      <w:pPr>
        <w:pStyle w:val="ListParagraph"/>
        <w:numPr>
          <w:ilvl w:val="0"/>
          <w:numId w:val="19"/>
        </w:numPr>
        <w:spacing w:before="120"/>
        <w:ind w:left="446" w:hanging="446"/>
        <w:contextualSpacing w:val="0"/>
        <w:rPr>
          <w:rFonts w:ascii="Times New Roman" w:hAnsi="Times New Roman" w:cs="Times New Roman"/>
          <w:szCs w:val="24"/>
        </w:rPr>
      </w:pPr>
      <w:r w:rsidRPr="003860DC">
        <w:rPr>
          <w:rFonts w:ascii="Times New Roman" w:hAnsi="Times New Roman" w:cs="Times New Roman"/>
          <w:szCs w:val="24"/>
        </w:rPr>
        <w:t xml:space="preserve">SUBGRANT </w:t>
      </w:r>
      <w:r w:rsidR="00A20650" w:rsidRPr="003860DC">
        <w:rPr>
          <w:rFonts w:ascii="Times New Roman" w:hAnsi="Times New Roman" w:cs="Times New Roman"/>
          <w:szCs w:val="24"/>
        </w:rPr>
        <w:t>REQUEST FORM &amp; EXPENDITURE REPORT</w:t>
      </w:r>
      <w:r w:rsidRPr="003860DC">
        <w:rPr>
          <w:rFonts w:ascii="Times New Roman" w:hAnsi="Times New Roman" w:cs="Times New Roman"/>
          <w:szCs w:val="24"/>
        </w:rPr>
        <w:t xml:space="preserve"> RETURN DEADLINE:  </w:t>
      </w:r>
    </w:p>
    <w:p w14:paraId="31D44145" w14:textId="65865000" w:rsidR="003860DC" w:rsidRPr="003860DC" w:rsidRDefault="00A20650" w:rsidP="003860DC">
      <w:pPr>
        <w:spacing w:before="120"/>
        <w:jc w:val="center"/>
        <w:rPr>
          <w:b/>
          <w:bCs/>
          <w:szCs w:val="24"/>
        </w:rPr>
      </w:pPr>
      <w:r w:rsidRPr="003860DC">
        <w:rPr>
          <w:b/>
          <w:bCs/>
          <w:szCs w:val="24"/>
        </w:rPr>
        <w:t>December 11</w:t>
      </w:r>
      <w:r w:rsidR="0090041D" w:rsidRPr="003860DC">
        <w:rPr>
          <w:b/>
          <w:bCs/>
          <w:szCs w:val="24"/>
        </w:rPr>
        <w:t>, 2020.</w:t>
      </w:r>
    </w:p>
    <w:p w14:paraId="34CAC130" w14:textId="77777777" w:rsidR="003860DC" w:rsidRDefault="00A20650" w:rsidP="003860DC">
      <w:pPr>
        <w:pStyle w:val="ListParagraph"/>
        <w:numPr>
          <w:ilvl w:val="0"/>
          <w:numId w:val="19"/>
        </w:numPr>
        <w:spacing w:before="120"/>
        <w:ind w:left="446" w:hanging="446"/>
        <w:contextualSpacing w:val="0"/>
        <w:rPr>
          <w:rFonts w:ascii="Times New Roman" w:hAnsi="Times New Roman" w:cs="Times New Roman"/>
          <w:szCs w:val="24"/>
        </w:rPr>
      </w:pPr>
      <w:r w:rsidRPr="00D627DB">
        <w:rPr>
          <w:rFonts w:ascii="Times New Roman" w:hAnsi="Times New Roman" w:cs="Times New Roman"/>
          <w:szCs w:val="24"/>
        </w:rPr>
        <w:t xml:space="preserve">Allowable expenses must have been incurred between January 20, 2020 through </w:t>
      </w:r>
      <w:r w:rsidR="00F97402" w:rsidRPr="00D627DB">
        <w:rPr>
          <w:rFonts w:ascii="Times New Roman" w:hAnsi="Times New Roman" w:cs="Times New Roman"/>
          <w:szCs w:val="24"/>
        </w:rPr>
        <w:t>November 30</w:t>
      </w:r>
      <w:r w:rsidRPr="00D627DB">
        <w:rPr>
          <w:rFonts w:ascii="Times New Roman" w:hAnsi="Times New Roman" w:cs="Times New Roman"/>
          <w:szCs w:val="24"/>
        </w:rPr>
        <w:t xml:space="preserve">, 2020 and must be due to pandemic related 2020 </w:t>
      </w:r>
      <w:r w:rsidR="00AB4DC2" w:rsidRPr="00D627DB">
        <w:rPr>
          <w:rFonts w:ascii="Times New Roman" w:hAnsi="Times New Roman" w:cs="Times New Roman"/>
          <w:szCs w:val="24"/>
        </w:rPr>
        <w:t xml:space="preserve">Federal </w:t>
      </w:r>
      <w:r w:rsidRPr="00D627DB">
        <w:rPr>
          <w:rFonts w:ascii="Times New Roman" w:hAnsi="Times New Roman" w:cs="Times New Roman"/>
          <w:szCs w:val="24"/>
        </w:rPr>
        <w:t xml:space="preserve">election expenditures.  All bills/invoices do NOT have to be paid by </w:t>
      </w:r>
      <w:r w:rsidR="00F97402" w:rsidRPr="00D627DB">
        <w:rPr>
          <w:rFonts w:ascii="Times New Roman" w:hAnsi="Times New Roman" w:cs="Times New Roman"/>
          <w:szCs w:val="24"/>
        </w:rPr>
        <w:t>November 30</w:t>
      </w:r>
      <w:r w:rsidRPr="00D627DB">
        <w:rPr>
          <w:rFonts w:ascii="Times New Roman" w:hAnsi="Times New Roman" w:cs="Times New Roman"/>
          <w:szCs w:val="24"/>
        </w:rPr>
        <w:t xml:space="preserve">, 2020, but the expenses need to be incurred by that date to qualify under the subgrant. </w:t>
      </w:r>
    </w:p>
    <w:p w14:paraId="0E76548B" w14:textId="77777777" w:rsidR="003860DC" w:rsidRDefault="0090041D" w:rsidP="003860DC">
      <w:pPr>
        <w:pStyle w:val="ListParagraph"/>
        <w:numPr>
          <w:ilvl w:val="0"/>
          <w:numId w:val="19"/>
        </w:numPr>
        <w:spacing w:before="120"/>
        <w:ind w:left="446" w:hanging="446"/>
        <w:contextualSpacing w:val="0"/>
        <w:rPr>
          <w:rFonts w:ascii="Times New Roman" w:hAnsi="Times New Roman" w:cs="Times New Roman"/>
          <w:szCs w:val="24"/>
        </w:rPr>
      </w:pPr>
      <w:r w:rsidRPr="00D627DB">
        <w:rPr>
          <w:rFonts w:ascii="Times New Roman" w:hAnsi="Times New Roman" w:cs="Times New Roman"/>
          <w:szCs w:val="24"/>
        </w:rPr>
        <w:t>Commission staff will award subgrant</w:t>
      </w:r>
      <w:r w:rsidR="00A20650" w:rsidRPr="00D627DB">
        <w:rPr>
          <w:rFonts w:ascii="Times New Roman" w:hAnsi="Times New Roman" w:cs="Times New Roman"/>
          <w:szCs w:val="24"/>
        </w:rPr>
        <w:t xml:space="preserve"> reimbursements up to $10,000 per county</w:t>
      </w:r>
      <w:r w:rsidRPr="00D627DB">
        <w:rPr>
          <w:rFonts w:ascii="Times New Roman" w:hAnsi="Times New Roman" w:cs="Times New Roman"/>
          <w:szCs w:val="24"/>
        </w:rPr>
        <w:t xml:space="preserve">.  Subgrant allocation is within the sole discretion of the Commission staff administering the subgrant program.  Subgrant funds may be received through electronic transfer to a jurisdiction’s shared revenues account (if available) or a physical check may be sent to a jurisdiction’s shared revenues location.  </w:t>
      </w:r>
    </w:p>
    <w:p w14:paraId="5F180E52" w14:textId="61622D72" w:rsidR="0090041D" w:rsidRPr="00D627DB" w:rsidRDefault="0090041D" w:rsidP="003860DC">
      <w:pPr>
        <w:pStyle w:val="ListParagraph"/>
        <w:numPr>
          <w:ilvl w:val="0"/>
          <w:numId w:val="19"/>
        </w:numPr>
        <w:spacing w:before="120"/>
        <w:ind w:left="446" w:hanging="446"/>
        <w:contextualSpacing w:val="0"/>
        <w:rPr>
          <w:rFonts w:ascii="Times New Roman" w:hAnsi="Times New Roman" w:cs="Times New Roman"/>
          <w:szCs w:val="24"/>
        </w:rPr>
      </w:pPr>
      <w:r w:rsidRPr="00D627DB">
        <w:rPr>
          <w:rFonts w:ascii="Times New Roman" w:hAnsi="Times New Roman" w:cs="Times New Roman"/>
          <w:szCs w:val="24"/>
        </w:rPr>
        <w:t>For questions related to the processing of subgrant checks, please contact the Commission’s financial team</w:t>
      </w:r>
      <w:r w:rsidR="00F33AAD" w:rsidRPr="00D627DB">
        <w:rPr>
          <w:rFonts w:ascii="Times New Roman" w:hAnsi="Times New Roman" w:cs="Times New Roman"/>
          <w:szCs w:val="24"/>
        </w:rPr>
        <w:t xml:space="preserve"> via the WEC Help Desk at (608) 261-2028</w:t>
      </w:r>
      <w:r w:rsidRPr="00D627DB">
        <w:rPr>
          <w:rFonts w:ascii="Times New Roman" w:hAnsi="Times New Roman" w:cs="Times New Roman"/>
          <w:szCs w:val="24"/>
        </w:rPr>
        <w:t xml:space="preserve"> or </w:t>
      </w:r>
      <w:hyperlink r:id="rId8" w:history="1">
        <w:r w:rsidR="00612891" w:rsidRPr="00D627DB">
          <w:rPr>
            <w:rStyle w:val="Hyperlink"/>
            <w:rFonts w:ascii="Times New Roman" w:hAnsi="Times New Roman" w:cs="Times New Roman"/>
            <w:szCs w:val="24"/>
          </w:rPr>
          <w:t>elections.finance@wi.gov</w:t>
        </w:r>
      </w:hyperlink>
    </w:p>
    <w:p w14:paraId="74790374" w14:textId="36A61132" w:rsidR="00A20650" w:rsidRPr="003860DC" w:rsidRDefault="00A20650" w:rsidP="003860DC">
      <w:pPr>
        <w:pStyle w:val="ListParagraph"/>
        <w:numPr>
          <w:ilvl w:val="0"/>
          <w:numId w:val="19"/>
        </w:numPr>
        <w:spacing w:before="120"/>
        <w:ind w:left="446" w:hanging="446"/>
        <w:contextualSpacing w:val="0"/>
        <w:rPr>
          <w:rFonts w:ascii="Times New Roman" w:hAnsi="Times New Roman" w:cs="Times New Roman"/>
          <w:szCs w:val="24"/>
        </w:rPr>
      </w:pPr>
      <w:r w:rsidRPr="003860DC">
        <w:rPr>
          <w:rFonts w:ascii="Times New Roman" w:hAnsi="Times New Roman" w:cs="Times New Roman"/>
          <w:szCs w:val="24"/>
        </w:rPr>
        <w:t>The Commission will expedite the disbursement of reimbursements as the requests with reports are received, and all reimbursements will be completed by</w:t>
      </w:r>
      <w:r w:rsidR="003329B3" w:rsidRPr="003860DC">
        <w:rPr>
          <w:rFonts w:ascii="Times New Roman" w:hAnsi="Times New Roman" w:cs="Times New Roman"/>
          <w:szCs w:val="24"/>
        </w:rPr>
        <w:t xml:space="preserve"> December 31, 2020.</w:t>
      </w:r>
    </w:p>
    <w:p w14:paraId="171D1911" w14:textId="525768E2" w:rsidR="00F97402" w:rsidRPr="003860DC" w:rsidRDefault="00F97402" w:rsidP="000B326B">
      <w:pPr>
        <w:pStyle w:val="ListParagraph"/>
        <w:rPr>
          <w:rFonts w:ascii="Times New Roman" w:hAnsi="Times New Roman" w:cs="Times New Roman"/>
          <w:szCs w:val="24"/>
        </w:rPr>
      </w:pPr>
    </w:p>
    <w:p w14:paraId="73ADC134" w14:textId="301D484C" w:rsidR="0090041D" w:rsidRPr="00D627DB" w:rsidRDefault="003329B3" w:rsidP="0090041D">
      <w:pPr>
        <w:pStyle w:val="ListParagraph"/>
        <w:numPr>
          <w:ilvl w:val="0"/>
          <w:numId w:val="12"/>
        </w:numPr>
        <w:ind w:left="630"/>
        <w:rPr>
          <w:rFonts w:ascii="Times New Roman" w:hAnsi="Times New Roman" w:cs="Times New Roman"/>
          <w:b/>
          <w:bCs/>
          <w:szCs w:val="24"/>
        </w:rPr>
      </w:pPr>
      <w:r w:rsidRPr="00D627DB">
        <w:rPr>
          <w:rFonts w:ascii="Times New Roman" w:hAnsi="Times New Roman" w:cs="Times New Roman"/>
          <w:b/>
          <w:bCs/>
          <w:szCs w:val="24"/>
        </w:rPr>
        <w:t xml:space="preserve">REIMBURSEMENT REQUEST &amp; CERTIFICATION </w:t>
      </w:r>
    </w:p>
    <w:p w14:paraId="6BD9DDE6" w14:textId="77777777" w:rsidR="0090041D" w:rsidRPr="00D627DB" w:rsidRDefault="0090041D" w:rsidP="0090041D">
      <w:pPr>
        <w:rPr>
          <w:b/>
          <w:bCs/>
          <w:szCs w:val="24"/>
        </w:rPr>
      </w:pPr>
    </w:p>
    <w:p w14:paraId="6A23283C" w14:textId="77777777" w:rsidR="0061472F" w:rsidRPr="00D627DB" w:rsidRDefault="0061472F" w:rsidP="0061472F">
      <w:pPr>
        <w:pStyle w:val="ListParagraph"/>
        <w:rPr>
          <w:rFonts w:ascii="Times New Roman" w:hAnsi="Times New Roman" w:cs="Times New Roman"/>
          <w:szCs w:val="24"/>
        </w:rPr>
      </w:pPr>
      <w:r w:rsidRPr="00D627DB">
        <w:rPr>
          <w:rFonts w:ascii="Times New Roman" w:hAnsi="Times New Roman" w:cs="Times New Roman"/>
          <w:szCs w:val="24"/>
        </w:rPr>
        <w:t>Reimbursement Amounts Requested must be:</w:t>
      </w:r>
    </w:p>
    <w:p w14:paraId="6F6499B8" w14:textId="564ED3B5" w:rsidR="0061472F" w:rsidRPr="00D627DB" w:rsidRDefault="0061472F" w:rsidP="0061472F">
      <w:pPr>
        <w:pStyle w:val="ListParagraph"/>
        <w:numPr>
          <w:ilvl w:val="0"/>
          <w:numId w:val="18"/>
        </w:numPr>
        <w:rPr>
          <w:rFonts w:ascii="Times New Roman" w:hAnsi="Times New Roman" w:cs="Times New Roman"/>
          <w:szCs w:val="24"/>
        </w:rPr>
      </w:pPr>
      <w:r w:rsidRPr="00D627DB">
        <w:rPr>
          <w:rFonts w:ascii="Times New Roman" w:hAnsi="Times New Roman" w:cs="Times New Roman"/>
          <w:szCs w:val="24"/>
        </w:rPr>
        <w:t xml:space="preserve">Additional costs are those that incurred outside of the jurisdiction’s budgeted costs for the 2020 federal elections or election costs that are solely incurred due to the pandemic. </w:t>
      </w:r>
    </w:p>
    <w:p w14:paraId="016A0F79" w14:textId="0424A2FB" w:rsidR="0061472F" w:rsidRPr="00D627DB" w:rsidRDefault="0061472F" w:rsidP="0061472F">
      <w:pPr>
        <w:pStyle w:val="ListParagraph"/>
        <w:numPr>
          <w:ilvl w:val="0"/>
          <w:numId w:val="18"/>
        </w:numPr>
        <w:rPr>
          <w:rFonts w:ascii="Times New Roman" w:hAnsi="Times New Roman" w:cs="Times New Roman"/>
          <w:szCs w:val="24"/>
        </w:rPr>
      </w:pPr>
      <w:r w:rsidRPr="00D627DB">
        <w:rPr>
          <w:rFonts w:ascii="Times New Roman" w:hAnsi="Times New Roman" w:cs="Times New Roman"/>
          <w:szCs w:val="24"/>
        </w:rPr>
        <w:t xml:space="preserve">Not subsidized by another source (e.g. municipalities, FEMA, Routes to Recovery, possible recount) or for supplies that WEC has provided. </w:t>
      </w:r>
    </w:p>
    <w:p w14:paraId="5135B753" w14:textId="77777777" w:rsidR="005200AE" w:rsidRPr="00D627DB" w:rsidRDefault="005200AE" w:rsidP="005200AE">
      <w:pPr>
        <w:spacing w:line="276" w:lineRule="auto"/>
        <w:rPr>
          <w:rFonts w:eastAsiaTheme="minorHAnsi"/>
          <w:b/>
          <w:bCs/>
          <w:szCs w:val="24"/>
        </w:rPr>
      </w:pPr>
    </w:p>
    <w:p w14:paraId="29180189" w14:textId="77777777" w:rsidR="003860DC" w:rsidRDefault="003860DC">
      <w:pPr>
        <w:rPr>
          <w:rFonts w:eastAsiaTheme="minorHAnsi"/>
          <w:i/>
          <w:iCs/>
          <w:szCs w:val="24"/>
        </w:rPr>
      </w:pPr>
      <w:r>
        <w:rPr>
          <w:rFonts w:eastAsiaTheme="minorHAnsi"/>
          <w:i/>
          <w:iCs/>
          <w:szCs w:val="24"/>
        </w:rPr>
        <w:br w:type="page"/>
      </w:r>
    </w:p>
    <w:p w14:paraId="76F3C0FA" w14:textId="593977BA" w:rsidR="003860DC" w:rsidRPr="003860DC" w:rsidRDefault="003860DC" w:rsidP="003860DC">
      <w:pPr>
        <w:ind w:left="-90"/>
        <w:jc w:val="center"/>
        <w:rPr>
          <w:szCs w:val="24"/>
        </w:rPr>
      </w:pPr>
      <w:r w:rsidRPr="003860DC">
        <w:rPr>
          <w:szCs w:val="24"/>
        </w:rPr>
        <w:lastRenderedPageBreak/>
        <w:t>REIMBURSEMENT REQUEST &amp; CERTIFICATION</w:t>
      </w:r>
    </w:p>
    <w:p w14:paraId="625964B0" w14:textId="77777777" w:rsidR="003860DC" w:rsidRDefault="003860DC" w:rsidP="005200AE">
      <w:pPr>
        <w:spacing w:line="276" w:lineRule="auto"/>
        <w:rPr>
          <w:rFonts w:eastAsiaTheme="minorHAnsi"/>
          <w:i/>
          <w:iCs/>
          <w:szCs w:val="24"/>
        </w:rPr>
      </w:pPr>
    </w:p>
    <w:p w14:paraId="0DCCC935" w14:textId="1A788C81" w:rsidR="0061472F" w:rsidRPr="00D627DB" w:rsidRDefault="00A069E1" w:rsidP="005200AE">
      <w:pPr>
        <w:spacing w:line="276" w:lineRule="auto"/>
        <w:rPr>
          <w:rFonts w:eastAsiaTheme="minorHAnsi"/>
          <w:i/>
          <w:iCs/>
          <w:szCs w:val="24"/>
        </w:rPr>
      </w:pPr>
      <w:r w:rsidRPr="00D627DB">
        <w:rPr>
          <w:rFonts w:eastAsiaTheme="minorHAnsi"/>
          <w:i/>
          <w:iCs/>
          <w:szCs w:val="24"/>
        </w:rPr>
        <w:t>P</w:t>
      </w:r>
      <w:r w:rsidR="0061472F" w:rsidRPr="00D627DB">
        <w:rPr>
          <w:rFonts w:eastAsiaTheme="minorHAnsi"/>
          <w:i/>
          <w:iCs/>
          <w:szCs w:val="24"/>
        </w:rPr>
        <w:t>lease enter your jurisdiction’s reimbursement amounts requested under the following s</w:t>
      </w:r>
      <w:r w:rsidR="00376F49" w:rsidRPr="00D627DB">
        <w:rPr>
          <w:rFonts w:eastAsiaTheme="minorHAnsi"/>
          <w:i/>
          <w:iCs/>
          <w:szCs w:val="24"/>
        </w:rPr>
        <w:t>ix</w:t>
      </w:r>
      <w:r w:rsidR="00F650E0" w:rsidRPr="00D627DB">
        <w:rPr>
          <w:rFonts w:eastAsiaTheme="minorHAnsi"/>
          <w:i/>
          <w:iCs/>
          <w:szCs w:val="24"/>
        </w:rPr>
        <w:t xml:space="preserve"> categories</w:t>
      </w:r>
      <w:r w:rsidRPr="00D627DB">
        <w:rPr>
          <w:rFonts w:eastAsiaTheme="minorHAnsi"/>
          <w:i/>
          <w:iCs/>
          <w:szCs w:val="24"/>
        </w:rPr>
        <w:t xml:space="preserve">. Amounts over $10,000 will be evaluated if more funds are available.  </w:t>
      </w:r>
    </w:p>
    <w:tbl>
      <w:tblPr>
        <w:tblStyle w:val="TableGrid"/>
        <w:tblW w:w="9900" w:type="dxa"/>
        <w:tblInd w:w="-365" w:type="dxa"/>
        <w:tblLayout w:type="fixed"/>
        <w:tblLook w:val="04A0" w:firstRow="1" w:lastRow="0" w:firstColumn="1" w:lastColumn="0" w:noHBand="0" w:noVBand="1"/>
      </w:tblPr>
      <w:tblGrid>
        <w:gridCol w:w="2065"/>
        <w:gridCol w:w="1265"/>
        <w:gridCol w:w="1260"/>
        <w:gridCol w:w="1170"/>
        <w:gridCol w:w="1710"/>
        <w:gridCol w:w="1170"/>
        <w:gridCol w:w="1260"/>
      </w:tblGrid>
      <w:tr w:rsidR="00376F49" w:rsidRPr="00D627DB" w14:paraId="78D68C63" w14:textId="77777777" w:rsidTr="003860DC">
        <w:trPr>
          <w:trHeight w:val="873"/>
        </w:trPr>
        <w:tc>
          <w:tcPr>
            <w:tcW w:w="2065" w:type="dxa"/>
          </w:tcPr>
          <w:p w14:paraId="76573B20" w14:textId="77777777" w:rsidR="00376F49" w:rsidRPr="003860DC" w:rsidRDefault="00376F49" w:rsidP="00376F49">
            <w:pPr>
              <w:spacing w:line="276" w:lineRule="auto"/>
              <w:rPr>
                <w:rFonts w:eastAsiaTheme="minorHAnsi"/>
                <w:b/>
                <w:bCs/>
                <w:sz w:val="20"/>
              </w:rPr>
            </w:pPr>
          </w:p>
          <w:p w14:paraId="5DB4563F" w14:textId="3F530C0A" w:rsidR="00376F49" w:rsidRPr="003860DC" w:rsidRDefault="00376F49" w:rsidP="00376F49">
            <w:pPr>
              <w:spacing w:line="276" w:lineRule="auto"/>
              <w:rPr>
                <w:rFonts w:eastAsiaTheme="minorHAnsi"/>
                <w:b/>
                <w:bCs/>
                <w:sz w:val="20"/>
              </w:rPr>
            </w:pPr>
            <w:r w:rsidRPr="003860DC">
              <w:rPr>
                <w:rFonts w:eastAsiaTheme="minorHAnsi"/>
                <w:b/>
                <w:bCs/>
                <w:sz w:val="20"/>
              </w:rPr>
              <w:t>Category:</w:t>
            </w:r>
          </w:p>
        </w:tc>
        <w:tc>
          <w:tcPr>
            <w:tcW w:w="1265" w:type="dxa"/>
          </w:tcPr>
          <w:p w14:paraId="500D7F9C" w14:textId="2CFA9603" w:rsidR="00376F49" w:rsidRPr="003860DC" w:rsidRDefault="00376F49" w:rsidP="00376F49">
            <w:pPr>
              <w:spacing w:line="276" w:lineRule="auto"/>
              <w:jc w:val="center"/>
              <w:rPr>
                <w:rFonts w:eastAsiaTheme="minorHAnsi"/>
                <w:b/>
                <w:bCs/>
                <w:sz w:val="20"/>
              </w:rPr>
            </w:pPr>
            <w:r w:rsidRPr="003860DC">
              <w:rPr>
                <w:rFonts w:eastAsiaTheme="minorHAnsi"/>
                <w:b/>
                <w:bCs/>
                <w:sz w:val="20"/>
              </w:rPr>
              <w:t>1</w:t>
            </w:r>
          </w:p>
          <w:p w14:paraId="6A5DA13A" w14:textId="690DC362" w:rsidR="00376F49" w:rsidRPr="003860DC" w:rsidRDefault="00376F49" w:rsidP="00376F49">
            <w:pPr>
              <w:spacing w:line="276" w:lineRule="auto"/>
              <w:jc w:val="center"/>
              <w:rPr>
                <w:rFonts w:eastAsiaTheme="minorHAnsi"/>
                <w:b/>
                <w:bCs/>
                <w:sz w:val="20"/>
              </w:rPr>
            </w:pPr>
            <w:r w:rsidRPr="003860DC">
              <w:rPr>
                <w:rFonts w:eastAsiaTheme="minorHAnsi"/>
                <w:b/>
                <w:bCs/>
                <w:sz w:val="20"/>
              </w:rPr>
              <w:t>Ballot Costs</w:t>
            </w:r>
          </w:p>
        </w:tc>
        <w:tc>
          <w:tcPr>
            <w:tcW w:w="1260" w:type="dxa"/>
          </w:tcPr>
          <w:p w14:paraId="5E98664D" w14:textId="77777777" w:rsidR="00376F49" w:rsidRPr="003860DC" w:rsidRDefault="00376F49" w:rsidP="00376F49">
            <w:pPr>
              <w:spacing w:line="276" w:lineRule="auto"/>
              <w:jc w:val="center"/>
              <w:rPr>
                <w:rFonts w:eastAsiaTheme="minorHAnsi"/>
                <w:b/>
                <w:bCs/>
                <w:sz w:val="20"/>
              </w:rPr>
            </w:pPr>
            <w:r w:rsidRPr="003860DC">
              <w:rPr>
                <w:rFonts w:eastAsiaTheme="minorHAnsi"/>
                <w:b/>
                <w:bCs/>
                <w:sz w:val="20"/>
              </w:rPr>
              <w:t>2</w:t>
            </w:r>
          </w:p>
          <w:p w14:paraId="24FF0EF4" w14:textId="5638DD8E" w:rsidR="00376F49" w:rsidRPr="003860DC" w:rsidRDefault="00376F49" w:rsidP="00376F49">
            <w:pPr>
              <w:spacing w:line="276" w:lineRule="auto"/>
              <w:jc w:val="center"/>
              <w:rPr>
                <w:rFonts w:eastAsiaTheme="minorHAnsi"/>
                <w:b/>
                <w:bCs/>
                <w:sz w:val="20"/>
              </w:rPr>
            </w:pPr>
            <w:r w:rsidRPr="003860DC">
              <w:rPr>
                <w:rFonts w:eastAsiaTheme="minorHAnsi"/>
                <w:b/>
                <w:bCs/>
                <w:sz w:val="20"/>
              </w:rPr>
              <w:t>Cleaning &amp; PPE</w:t>
            </w:r>
          </w:p>
        </w:tc>
        <w:tc>
          <w:tcPr>
            <w:tcW w:w="1170" w:type="dxa"/>
          </w:tcPr>
          <w:p w14:paraId="25645D63" w14:textId="77777777" w:rsidR="005200AE" w:rsidRPr="003860DC" w:rsidRDefault="00376F49" w:rsidP="00376F49">
            <w:pPr>
              <w:spacing w:line="276" w:lineRule="auto"/>
              <w:jc w:val="center"/>
              <w:rPr>
                <w:rFonts w:eastAsiaTheme="minorHAnsi"/>
                <w:b/>
                <w:bCs/>
                <w:sz w:val="20"/>
              </w:rPr>
            </w:pPr>
            <w:r w:rsidRPr="003860DC">
              <w:rPr>
                <w:rFonts w:eastAsiaTheme="minorHAnsi"/>
                <w:b/>
                <w:bCs/>
                <w:sz w:val="20"/>
              </w:rPr>
              <w:t>3</w:t>
            </w:r>
          </w:p>
          <w:p w14:paraId="67ED7B28" w14:textId="4B981B83" w:rsidR="00376F49" w:rsidRPr="003860DC" w:rsidRDefault="00376F49" w:rsidP="00376F49">
            <w:pPr>
              <w:spacing w:line="276" w:lineRule="auto"/>
              <w:jc w:val="center"/>
              <w:rPr>
                <w:rFonts w:eastAsiaTheme="minorHAnsi"/>
                <w:b/>
                <w:bCs/>
                <w:sz w:val="20"/>
              </w:rPr>
            </w:pPr>
            <w:r w:rsidRPr="003860DC">
              <w:rPr>
                <w:rFonts w:eastAsiaTheme="minorHAnsi"/>
                <w:b/>
                <w:bCs/>
                <w:sz w:val="20"/>
              </w:rPr>
              <w:t>Staffing</w:t>
            </w:r>
          </w:p>
        </w:tc>
        <w:tc>
          <w:tcPr>
            <w:tcW w:w="1710" w:type="dxa"/>
          </w:tcPr>
          <w:p w14:paraId="7D26C776" w14:textId="77777777" w:rsidR="00376F49" w:rsidRPr="003860DC" w:rsidRDefault="00376F49" w:rsidP="00376F49">
            <w:pPr>
              <w:spacing w:line="276" w:lineRule="auto"/>
              <w:jc w:val="center"/>
              <w:rPr>
                <w:rFonts w:eastAsiaTheme="minorHAnsi"/>
                <w:b/>
                <w:bCs/>
                <w:sz w:val="20"/>
              </w:rPr>
            </w:pPr>
            <w:r w:rsidRPr="003860DC">
              <w:rPr>
                <w:rFonts w:eastAsiaTheme="minorHAnsi"/>
                <w:b/>
                <w:bCs/>
                <w:sz w:val="20"/>
              </w:rPr>
              <w:t>4</w:t>
            </w:r>
          </w:p>
          <w:p w14:paraId="1C9AA98A" w14:textId="14E63E73" w:rsidR="00376F49" w:rsidRPr="003860DC" w:rsidRDefault="00376F49" w:rsidP="00376F49">
            <w:pPr>
              <w:spacing w:line="276" w:lineRule="auto"/>
              <w:jc w:val="center"/>
              <w:rPr>
                <w:rFonts w:eastAsiaTheme="minorHAnsi"/>
                <w:b/>
                <w:bCs/>
                <w:sz w:val="20"/>
              </w:rPr>
            </w:pPr>
            <w:r w:rsidRPr="003860DC">
              <w:rPr>
                <w:rFonts w:eastAsiaTheme="minorHAnsi"/>
                <w:b/>
                <w:bCs/>
                <w:sz w:val="20"/>
              </w:rPr>
              <w:t>Communications</w:t>
            </w:r>
          </w:p>
        </w:tc>
        <w:tc>
          <w:tcPr>
            <w:tcW w:w="1170" w:type="dxa"/>
          </w:tcPr>
          <w:p w14:paraId="71BE7BFE" w14:textId="77777777" w:rsidR="00376F49" w:rsidRPr="003860DC" w:rsidRDefault="00376F49" w:rsidP="00376F49">
            <w:pPr>
              <w:spacing w:line="276" w:lineRule="auto"/>
              <w:jc w:val="center"/>
              <w:rPr>
                <w:rFonts w:eastAsiaTheme="minorHAnsi"/>
                <w:b/>
                <w:bCs/>
                <w:sz w:val="20"/>
              </w:rPr>
            </w:pPr>
            <w:r w:rsidRPr="003860DC">
              <w:rPr>
                <w:rFonts w:eastAsiaTheme="minorHAnsi"/>
                <w:b/>
                <w:bCs/>
                <w:sz w:val="20"/>
              </w:rPr>
              <w:t>5</w:t>
            </w:r>
          </w:p>
          <w:p w14:paraId="7466DE35" w14:textId="6A9059F0" w:rsidR="00376F49" w:rsidRPr="003860DC" w:rsidRDefault="00376F49" w:rsidP="00376F49">
            <w:pPr>
              <w:spacing w:line="276" w:lineRule="auto"/>
              <w:jc w:val="center"/>
              <w:rPr>
                <w:rFonts w:eastAsiaTheme="minorHAnsi"/>
                <w:b/>
                <w:bCs/>
                <w:sz w:val="20"/>
              </w:rPr>
            </w:pPr>
            <w:r w:rsidRPr="003860DC">
              <w:rPr>
                <w:rFonts w:eastAsiaTheme="minorHAnsi"/>
                <w:b/>
                <w:bCs/>
                <w:sz w:val="20"/>
              </w:rPr>
              <w:t>Space Leasing</w:t>
            </w:r>
          </w:p>
        </w:tc>
        <w:tc>
          <w:tcPr>
            <w:tcW w:w="1260" w:type="dxa"/>
          </w:tcPr>
          <w:p w14:paraId="541307A2" w14:textId="77777777" w:rsidR="00376F49" w:rsidRPr="003860DC" w:rsidRDefault="00376F49" w:rsidP="00376F49">
            <w:pPr>
              <w:spacing w:line="276" w:lineRule="auto"/>
              <w:jc w:val="center"/>
              <w:rPr>
                <w:rFonts w:eastAsiaTheme="minorHAnsi"/>
                <w:b/>
                <w:bCs/>
                <w:sz w:val="20"/>
              </w:rPr>
            </w:pPr>
            <w:r w:rsidRPr="003860DC">
              <w:rPr>
                <w:rFonts w:eastAsiaTheme="minorHAnsi"/>
                <w:b/>
                <w:bCs/>
                <w:sz w:val="20"/>
              </w:rPr>
              <w:t>6</w:t>
            </w:r>
          </w:p>
          <w:p w14:paraId="2967979C" w14:textId="213F124B" w:rsidR="00376F49" w:rsidRPr="003860DC" w:rsidRDefault="00376F49" w:rsidP="00376F49">
            <w:pPr>
              <w:spacing w:line="276" w:lineRule="auto"/>
              <w:jc w:val="center"/>
              <w:rPr>
                <w:rFonts w:eastAsiaTheme="minorHAnsi"/>
                <w:b/>
                <w:bCs/>
                <w:sz w:val="20"/>
              </w:rPr>
            </w:pPr>
            <w:r w:rsidRPr="003860DC">
              <w:rPr>
                <w:rFonts w:eastAsiaTheme="minorHAnsi"/>
                <w:b/>
                <w:bCs/>
                <w:sz w:val="20"/>
              </w:rPr>
              <w:t>Equipment &gt;=$5,000</w:t>
            </w:r>
          </w:p>
        </w:tc>
      </w:tr>
      <w:tr w:rsidR="00376F49" w:rsidRPr="00D627DB" w14:paraId="4B923ED3" w14:textId="77777777" w:rsidTr="003860DC">
        <w:trPr>
          <w:trHeight w:val="873"/>
        </w:trPr>
        <w:tc>
          <w:tcPr>
            <w:tcW w:w="2065" w:type="dxa"/>
          </w:tcPr>
          <w:p w14:paraId="59D4A32E" w14:textId="781AD0C2" w:rsidR="00376F49" w:rsidRPr="003860DC" w:rsidRDefault="00376F49" w:rsidP="003329B3">
            <w:pPr>
              <w:spacing w:line="276" w:lineRule="auto"/>
              <w:rPr>
                <w:rFonts w:eastAsiaTheme="minorHAnsi"/>
                <w:b/>
                <w:bCs/>
                <w:sz w:val="20"/>
              </w:rPr>
            </w:pPr>
            <w:r w:rsidRPr="003860DC">
              <w:rPr>
                <w:rFonts w:eastAsiaTheme="minorHAnsi"/>
                <w:b/>
                <w:bCs/>
                <w:sz w:val="20"/>
              </w:rPr>
              <w:t>Reimbursement Amount Requested:</w:t>
            </w:r>
          </w:p>
        </w:tc>
        <w:tc>
          <w:tcPr>
            <w:tcW w:w="1265" w:type="dxa"/>
            <w:shd w:val="clear" w:color="auto" w:fill="FFFF00"/>
          </w:tcPr>
          <w:p w14:paraId="4D85073C" w14:textId="363A35A0" w:rsidR="00376F49" w:rsidRPr="003860DC" w:rsidRDefault="00376F49" w:rsidP="003329B3">
            <w:pPr>
              <w:spacing w:line="276" w:lineRule="auto"/>
              <w:rPr>
                <w:rFonts w:eastAsiaTheme="minorHAnsi"/>
                <w:b/>
                <w:bCs/>
                <w:sz w:val="20"/>
                <w:highlight w:val="yellow"/>
              </w:rPr>
            </w:pPr>
          </w:p>
        </w:tc>
        <w:tc>
          <w:tcPr>
            <w:tcW w:w="1260" w:type="dxa"/>
            <w:shd w:val="clear" w:color="auto" w:fill="FFFF00"/>
          </w:tcPr>
          <w:p w14:paraId="03735561" w14:textId="77777777" w:rsidR="00376F49" w:rsidRPr="003860DC" w:rsidRDefault="00376F49" w:rsidP="003329B3">
            <w:pPr>
              <w:spacing w:line="276" w:lineRule="auto"/>
              <w:rPr>
                <w:rFonts w:eastAsiaTheme="minorHAnsi"/>
                <w:b/>
                <w:bCs/>
                <w:sz w:val="20"/>
                <w:highlight w:val="yellow"/>
              </w:rPr>
            </w:pPr>
          </w:p>
        </w:tc>
        <w:tc>
          <w:tcPr>
            <w:tcW w:w="1170" w:type="dxa"/>
            <w:shd w:val="clear" w:color="auto" w:fill="FFFF00"/>
          </w:tcPr>
          <w:p w14:paraId="7A9F0FC6" w14:textId="77777777" w:rsidR="00376F49" w:rsidRPr="003860DC" w:rsidRDefault="00376F49" w:rsidP="003329B3">
            <w:pPr>
              <w:spacing w:line="276" w:lineRule="auto"/>
              <w:rPr>
                <w:rFonts w:eastAsiaTheme="minorHAnsi"/>
                <w:b/>
                <w:bCs/>
                <w:sz w:val="20"/>
                <w:highlight w:val="yellow"/>
              </w:rPr>
            </w:pPr>
          </w:p>
        </w:tc>
        <w:tc>
          <w:tcPr>
            <w:tcW w:w="1710" w:type="dxa"/>
            <w:shd w:val="clear" w:color="auto" w:fill="FFFF00"/>
          </w:tcPr>
          <w:p w14:paraId="432D1F35" w14:textId="77777777" w:rsidR="00376F49" w:rsidRPr="003860DC" w:rsidRDefault="00376F49" w:rsidP="003329B3">
            <w:pPr>
              <w:spacing w:line="276" w:lineRule="auto"/>
              <w:rPr>
                <w:rFonts w:eastAsiaTheme="minorHAnsi"/>
                <w:b/>
                <w:bCs/>
                <w:sz w:val="20"/>
                <w:highlight w:val="yellow"/>
              </w:rPr>
            </w:pPr>
          </w:p>
        </w:tc>
        <w:tc>
          <w:tcPr>
            <w:tcW w:w="1170" w:type="dxa"/>
            <w:shd w:val="clear" w:color="auto" w:fill="FFFF00"/>
          </w:tcPr>
          <w:p w14:paraId="35130CE5" w14:textId="77777777" w:rsidR="00376F49" w:rsidRPr="003860DC" w:rsidRDefault="00376F49" w:rsidP="003329B3">
            <w:pPr>
              <w:spacing w:line="276" w:lineRule="auto"/>
              <w:rPr>
                <w:rFonts w:eastAsiaTheme="minorHAnsi"/>
                <w:b/>
                <w:bCs/>
                <w:sz w:val="20"/>
                <w:highlight w:val="yellow"/>
              </w:rPr>
            </w:pPr>
          </w:p>
        </w:tc>
        <w:tc>
          <w:tcPr>
            <w:tcW w:w="1260" w:type="dxa"/>
            <w:shd w:val="clear" w:color="auto" w:fill="FFFF00"/>
          </w:tcPr>
          <w:p w14:paraId="36E28276" w14:textId="77777777" w:rsidR="00376F49" w:rsidRPr="003860DC" w:rsidRDefault="00376F49" w:rsidP="003329B3">
            <w:pPr>
              <w:spacing w:line="276" w:lineRule="auto"/>
              <w:rPr>
                <w:rFonts w:eastAsiaTheme="minorHAnsi"/>
                <w:b/>
                <w:bCs/>
                <w:sz w:val="20"/>
                <w:highlight w:val="yellow"/>
              </w:rPr>
            </w:pPr>
          </w:p>
        </w:tc>
      </w:tr>
    </w:tbl>
    <w:p w14:paraId="7F8C8F71" w14:textId="77777777" w:rsidR="003329B3" w:rsidRPr="00D627DB" w:rsidRDefault="003329B3" w:rsidP="003329B3">
      <w:pPr>
        <w:spacing w:line="276" w:lineRule="auto"/>
        <w:ind w:left="360"/>
        <w:rPr>
          <w:rFonts w:eastAsiaTheme="minorHAnsi"/>
          <w:b/>
          <w:bCs/>
          <w:szCs w:val="24"/>
        </w:rPr>
      </w:pPr>
    </w:p>
    <w:p w14:paraId="036DDD35" w14:textId="2EFAE170" w:rsidR="003329B3" w:rsidRPr="00D627DB" w:rsidRDefault="0061472F" w:rsidP="003329B3">
      <w:pPr>
        <w:spacing w:line="276" w:lineRule="auto"/>
        <w:ind w:left="360"/>
        <w:rPr>
          <w:rFonts w:eastAsiaTheme="minorHAnsi"/>
          <w:b/>
          <w:bCs/>
          <w:szCs w:val="24"/>
        </w:rPr>
      </w:pPr>
      <w:r w:rsidRPr="00D627DB">
        <w:rPr>
          <w:rFonts w:eastAsiaTheme="minorHAnsi"/>
          <w:b/>
          <w:bCs/>
          <w:szCs w:val="24"/>
        </w:rPr>
        <w:t xml:space="preserve">Total </w:t>
      </w:r>
      <w:r w:rsidR="003329B3" w:rsidRPr="00D627DB">
        <w:rPr>
          <w:rFonts w:eastAsiaTheme="minorHAnsi"/>
          <w:b/>
          <w:bCs/>
          <w:szCs w:val="24"/>
        </w:rPr>
        <w:t xml:space="preserve">Amount of Reimbursement Requested </w:t>
      </w:r>
      <w:r w:rsidR="003329B3" w:rsidRPr="00D627DB">
        <w:rPr>
          <w:rFonts w:eastAsiaTheme="minorHAnsi"/>
          <w:b/>
          <w:bCs/>
          <w:szCs w:val="24"/>
          <w:highlight w:val="yellow"/>
        </w:rPr>
        <w:t>$___________________________________</w:t>
      </w:r>
    </w:p>
    <w:p w14:paraId="0092E66D" w14:textId="77777777" w:rsidR="00D627DB" w:rsidRDefault="00D627DB" w:rsidP="000B326B">
      <w:pPr>
        <w:pStyle w:val="ListParagraph"/>
        <w:ind w:left="90"/>
        <w:rPr>
          <w:rFonts w:ascii="Times New Roman" w:hAnsi="Times New Roman" w:cs="Times New Roman"/>
          <w:szCs w:val="24"/>
        </w:rPr>
      </w:pPr>
    </w:p>
    <w:p w14:paraId="03730728" w14:textId="30607C72" w:rsidR="000B326B" w:rsidRPr="00D627DB" w:rsidRDefault="000B326B" w:rsidP="000B326B">
      <w:pPr>
        <w:pStyle w:val="ListParagraph"/>
        <w:ind w:left="90"/>
        <w:rPr>
          <w:rFonts w:ascii="Times New Roman" w:hAnsi="Times New Roman" w:cs="Times New Roman"/>
          <w:szCs w:val="24"/>
        </w:rPr>
      </w:pPr>
      <w:r w:rsidRPr="00D627DB">
        <w:rPr>
          <w:rFonts w:ascii="Times New Roman" w:hAnsi="Times New Roman" w:cs="Times New Roman"/>
          <w:szCs w:val="24"/>
        </w:rPr>
        <w:t xml:space="preserve">Federal and State law require jurisdictions receiving subgrants to certify that they have complied with the terms of the subgrant.  By signing and returning this agreement, your jurisdiction certifies the following:  </w:t>
      </w:r>
    </w:p>
    <w:p w14:paraId="6EE6404D" w14:textId="77777777" w:rsidR="000B326B" w:rsidRPr="00D627DB" w:rsidRDefault="000B326B" w:rsidP="000B326B">
      <w:pPr>
        <w:pStyle w:val="ListParagraph"/>
        <w:ind w:left="630"/>
        <w:rPr>
          <w:rFonts w:ascii="Times New Roman" w:hAnsi="Times New Roman" w:cs="Times New Roman"/>
          <w:b/>
          <w:bCs/>
          <w:szCs w:val="24"/>
        </w:rPr>
      </w:pPr>
    </w:p>
    <w:p w14:paraId="123DC1B6" w14:textId="77777777" w:rsidR="000B326B" w:rsidRPr="00D627DB" w:rsidRDefault="000B326B" w:rsidP="000B326B">
      <w:pPr>
        <w:pStyle w:val="ListParagraph"/>
        <w:numPr>
          <w:ilvl w:val="0"/>
          <w:numId w:val="16"/>
        </w:numPr>
        <w:rPr>
          <w:rFonts w:ascii="Times New Roman" w:hAnsi="Times New Roman" w:cs="Times New Roman"/>
          <w:szCs w:val="24"/>
        </w:rPr>
      </w:pPr>
      <w:r w:rsidRPr="00D627DB">
        <w:rPr>
          <w:rFonts w:ascii="Times New Roman" w:hAnsi="Times New Roman" w:cs="Times New Roman"/>
          <w:szCs w:val="24"/>
        </w:rPr>
        <w:t>As the receiving jurisdiction, we certify that the expenditures submitted for reimbursement under this County CARES for Elections Subgrant have been incurred due to the pandemic affecting the 2020 federal elections.</w:t>
      </w:r>
    </w:p>
    <w:p w14:paraId="663D20C8" w14:textId="77777777" w:rsidR="000B326B" w:rsidRPr="00D627DB" w:rsidRDefault="000B326B" w:rsidP="000B326B">
      <w:pPr>
        <w:rPr>
          <w:szCs w:val="22"/>
        </w:rPr>
      </w:pPr>
    </w:p>
    <w:p w14:paraId="521F854D" w14:textId="77777777" w:rsidR="000B326B" w:rsidRPr="00D627DB" w:rsidRDefault="000B326B" w:rsidP="000B326B">
      <w:pPr>
        <w:pStyle w:val="ListParagraph"/>
        <w:numPr>
          <w:ilvl w:val="0"/>
          <w:numId w:val="16"/>
        </w:numPr>
        <w:rPr>
          <w:rFonts w:ascii="Times New Roman" w:hAnsi="Times New Roman" w:cs="Times New Roman"/>
          <w:szCs w:val="24"/>
        </w:rPr>
      </w:pPr>
      <w:r w:rsidRPr="00D627DB">
        <w:rPr>
          <w:rFonts w:ascii="Times New Roman" w:hAnsi="Times New Roman" w:cs="Times New Roman"/>
          <w:szCs w:val="24"/>
        </w:rPr>
        <w:t>As the receiving jurisdiction, we will maintain all documentation of purchases and payments made using subgrant funds provided in this subgrant until December 31, 2024.</w:t>
      </w:r>
      <w:r w:rsidRPr="00D627DB">
        <w:rPr>
          <w:szCs w:val="24"/>
        </w:rPr>
        <w:t xml:space="preserve">  </w:t>
      </w:r>
    </w:p>
    <w:p w14:paraId="1E49C35A" w14:textId="77777777" w:rsidR="000B326B" w:rsidRPr="00D627DB" w:rsidRDefault="000B326B" w:rsidP="000B326B">
      <w:pPr>
        <w:pStyle w:val="ListParagraph"/>
        <w:rPr>
          <w:szCs w:val="24"/>
        </w:rPr>
      </w:pPr>
      <w:r w:rsidRPr="00D627DB">
        <w:rPr>
          <w:rFonts w:ascii="Times New Roman" w:hAnsi="Times New Roman" w:cs="Times New Roman"/>
          <w:szCs w:val="24"/>
        </w:rPr>
        <w:t xml:space="preserve"> </w:t>
      </w:r>
    </w:p>
    <w:p w14:paraId="0ED80826" w14:textId="28C5C6D6" w:rsidR="000B326B" w:rsidRPr="00D627DB" w:rsidRDefault="000B326B" w:rsidP="000B326B">
      <w:pPr>
        <w:pStyle w:val="ListParagraph"/>
        <w:numPr>
          <w:ilvl w:val="0"/>
          <w:numId w:val="16"/>
        </w:numPr>
        <w:rPr>
          <w:szCs w:val="24"/>
        </w:rPr>
      </w:pPr>
      <w:r w:rsidRPr="00D627DB">
        <w:rPr>
          <w:rFonts w:ascii="Times New Roman" w:hAnsi="Times New Roman" w:cs="Times New Roman"/>
          <w:szCs w:val="24"/>
        </w:rPr>
        <w:t>As the receiving jurisdiction, we further certify that we have followed all state and federal laws, including adherence to all applicable federal requirements including Office of Management and Budget (OMB) guidance: Title 2 C.F.R. Subtitle A, Chapter II, Part 200-Uniform Administrative Requirements, Cost Principles, and Audit Requirements for Federal Awards (2 C.F.R. § 200) found here:  (</w:t>
      </w:r>
      <w:hyperlink r:id="rId9" w:history="1">
        <w:r w:rsidRPr="00D627DB">
          <w:rPr>
            <w:rFonts w:ascii="Times New Roman" w:hAnsi="Times New Roman" w:cs="Times New Roman"/>
            <w:szCs w:val="24"/>
          </w:rPr>
          <w:t>https://www.govinfo.gov/app/collection/cfr/20</w:t>
        </w:r>
        <w:r w:rsidR="009E71E0" w:rsidRPr="00D627DB">
          <w:rPr>
            <w:rFonts w:ascii="Times New Roman" w:hAnsi="Times New Roman" w:cs="Times New Roman"/>
            <w:szCs w:val="24"/>
          </w:rPr>
          <w:t>20</w:t>
        </w:r>
        <w:r w:rsidRPr="00D627DB">
          <w:rPr>
            <w:rFonts w:ascii="Times New Roman" w:hAnsi="Times New Roman" w:cs="Times New Roman"/>
            <w:szCs w:val="24"/>
          </w:rPr>
          <w:t>/</w:t>
        </w:r>
      </w:hyperlink>
      <w:r w:rsidRPr="00D627DB">
        <w:rPr>
          <w:rFonts w:ascii="Times New Roman" w:hAnsi="Times New Roman" w:cs="Times New Roman"/>
          <w:szCs w:val="24"/>
        </w:rPr>
        <w:t xml:space="preserve">)  </w:t>
      </w:r>
    </w:p>
    <w:p w14:paraId="41F1B275" w14:textId="77777777" w:rsidR="000B326B" w:rsidRPr="00D627DB" w:rsidRDefault="000B326B" w:rsidP="0090041D">
      <w:pPr>
        <w:rPr>
          <w:szCs w:val="24"/>
        </w:rPr>
      </w:pPr>
    </w:p>
    <w:p w14:paraId="2022C40E" w14:textId="2AEF85EE" w:rsidR="0090041D" w:rsidRPr="00D627DB" w:rsidRDefault="0090041D" w:rsidP="0090041D">
      <w:pPr>
        <w:rPr>
          <w:szCs w:val="24"/>
        </w:rPr>
      </w:pPr>
      <w:r w:rsidRPr="00D627DB">
        <w:rPr>
          <w:szCs w:val="24"/>
        </w:rPr>
        <w:t xml:space="preserve">Please enter your name and the date of certification below to certify the above and </w:t>
      </w:r>
      <w:r w:rsidRPr="00D627DB">
        <w:rPr>
          <w:i/>
          <w:iCs/>
          <w:szCs w:val="24"/>
        </w:rPr>
        <w:t>return via your official email</w:t>
      </w:r>
      <w:r w:rsidRPr="00D627DB">
        <w:rPr>
          <w:szCs w:val="24"/>
        </w:rPr>
        <w:t xml:space="preserve"> address to </w:t>
      </w:r>
      <w:hyperlink r:id="rId10" w:history="1">
        <w:r w:rsidRPr="00D627DB">
          <w:rPr>
            <w:rStyle w:val="Hyperlink"/>
            <w:szCs w:val="24"/>
          </w:rPr>
          <w:t>elections.finance@wi.gov</w:t>
        </w:r>
      </w:hyperlink>
      <w:r w:rsidRPr="00D627DB">
        <w:rPr>
          <w:szCs w:val="24"/>
        </w:rPr>
        <w:t>.</w:t>
      </w:r>
    </w:p>
    <w:p w14:paraId="70C81E88" w14:textId="77777777" w:rsidR="0090041D" w:rsidRPr="00D627DB" w:rsidRDefault="0090041D" w:rsidP="0090041D">
      <w:pPr>
        <w:pStyle w:val="ListParagraph"/>
        <w:ind w:left="630"/>
        <w:rPr>
          <w:rFonts w:ascii="Times New Roman" w:hAnsi="Times New Roman" w:cs="Times New Roman"/>
          <w:b/>
          <w:bCs/>
          <w:szCs w:val="24"/>
        </w:rPr>
      </w:pPr>
    </w:p>
    <w:p w14:paraId="2878CF43" w14:textId="77777777" w:rsidR="0090041D" w:rsidRPr="00D627DB" w:rsidRDefault="0090041D" w:rsidP="0090041D">
      <w:pPr>
        <w:spacing w:line="276" w:lineRule="auto"/>
        <w:ind w:left="360"/>
        <w:rPr>
          <w:rFonts w:eastAsiaTheme="minorHAnsi"/>
          <w:szCs w:val="24"/>
        </w:rPr>
      </w:pPr>
    </w:p>
    <w:p w14:paraId="25515E45" w14:textId="77FC89EE" w:rsidR="0061472F" w:rsidRPr="00D627DB" w:rsidRDefault="0061472F" w:rsidP="0061472F">
      <w:pPr>
        <w:spacing w:line="276" w:lineRule="auto"/>
        <w:ind w:left="360"/>
        <w:rPr>
          <w:rFonts w:eastAsiaTheme="minorHAnsi"/>
          <w:b/>
          <w:bCs/>
          <w:szCs w:val="24"/>
        </w:rPr>
      </w:pPr>
      <w:r w:rsidRPr="00D627DB">
        <w:rPr>
          <w:rFonts w:eastAsiaTheme="minorHAnsi"/>
          <w:b/>
          <w:bCs/>
          <w:szCs w:val="24"/>
        </w:rPr>
        <w:t xml:space="preserve">Receiving Jurisdiction’s Name </w:t>
      </w:r>
      <w:r w:rsidRPr="00D627DB">
        <w:rPr>
          <w:rFonts w:eastAsiaTheme="minorHAnsi"/>
          <w:b/>
          <w:bCs/>
          <w:szCs w:val="24"/>
          <w:highlight w:val="yellow"/>
        </w:rPr>
        <w:t>_______________________________________________</w:t>
      </w:r>
    </w:p>
    <w:p w14:paraId="69C0D251" w14:textId="77777777" w:rsidR="0061472F" w:rsidRPr="00D627DB" w:rsidRDefault="0061472F" w:rsidP="0090041D">
      <w:pPr>
        <w:spacing w:line="276" w:lineRule="auto"/>
        <w:ind w:left="360"/>
        <w:rPr>
          <w:rFonts w:eastAsiaTheme="minorHAnsi"/>
          <w:b/>
          <w:bCs/>
          <w:szCs w:val="24"/>
        </w:rPr>
      </w:pPr>
    </w:p>
    <w:p w14:paraId="3DB40BA4" w14:textId="327BD823" w:rsidR="0090041D" w:rsidRPr="00D627DB" w:rsidRDefault="0090041D" w:rsidP="0090041D">
      <w:pPr>
        <w:spacing w:line="276" w:lineRule="auto"/>
        <w:ind w:left="360"/>
        <w:rPr>
          <w:rFonts w:eastAsiaTheme="minorHAnsi"/>
          <w:szCs w:val="24"/>
        </w:rPr>
      </w:pPr>
      <w:r w:rsidRPr="00D627DB">
        <w:rPr>
          <w:rFonts w:eastAsiaTheme="minorHAnsi"/>
          <w:b/>
          <w:bCs/>
          <w:szCs w:val="24"/>
        </w:rPr>
        <w:t>Signature</w:t>
      </w:r>
      <w:r w:rsidRPr="00D627DB">
        <w:rPr>
          <w:rFonts w:eastAsiaTheme="minorHAnsi"/>
          <w:szCs w:val="24"/>
        </w:rPr>
        <w:t xml:space="preserve"> </w:t>
      </w:r>
      <w:r w:rsidRPr="00D627DB">
        <w:rPr>
          <w:rFonts w:eastAsiaTheme="minorHAnsi"/>
          <w:szCs w:val="24"/>
          <w:highlight w:val="yellow"/>
        </w:rPr>
        <w:t>____________________________________________</w:t>
      </w:r>
      <w:r w:rsidRPr="00D627DB">
        <w:rPr>
          <w:rFonts w:eastAsiaTheme="minorHAnsi"/>
          <w:szCs w:val="24"/>
        </w:rPr>
        <w:t xml:space="preserve"> </w:t>
      </w:r>
      <w:r w:rsidRPr="00D627DB">
        <w:rPr>
          <w:rFonts w:eastAsiaTheme="minorHAnsi"/>
          <w:b/>
          <w:bCs/>
          <w:szCs w:val="24"/>
        </w:rPr>
        <w:t>Date</w:t>
      </w:r>
      <w:r w:rsidR="00B1170B" w:rsidRPr="00D627DB">
        <w:rPr>
          <w:rFonts w:eastAsiaTheme="minorHAnsi"/>
          <w:b/>
          <w:bCs/>
          <w:szCs w:val="24"/>
        </w:rPr>
        <w:t xml:space="preserve"> </w:t>
      </w:r>
      <w:r w:rsidRPr="00D627DB">
        <w:rPr>
          <w:rFonts w:eastAsiaTheme="minorHAnsi"/>
          <w:szCs w:val="24"/>
          <w:highlight w:val="yellow"/>
        </w:rPr>
        <w:t>_____________</w:t>
      </w:r>
      <w:r w:rsidR="00D627DB">
        <w:rPr>
          <w:rFonts w:eastAsiaTheme="minorHAnsi"/>
          <w:szCs w:val="24"/>
          <w:highlight w:val="yellow"/>
        </w:rPr>
        <w:t>_</w:t>
      </w:r>
      <w:r w:rsidRPr="00D627DB">
        <w:rPr>
          <w:rFonts w:eastAsiaTheme="minorHAnsi"/>
          <w:szCs w:val="24"/>
          <w:highlight w:val="yellow"/>
        </w:rPr>
        <w:t>__</w:t>
      </w:r>
    </w:p>
    <w:p w14:paraId="3F2F654D" w14:textId="10F55F94" w:rsidR="0090041D" w:rsidRPr="00D627DB" w:rsidRDefault="0090041D" w:rsidP="0090041D">
      <w:pPr>
        <w:ind w:left="360"/>
        <w:rPr>
          <w:szCs w:val="24"/>
        </w:rPr>
      </w:pPr>
      <w:r w:rsidRPr="00D627DB">
        <w:rPr>
          <w:szCs w:val="24"/>
        </w:rPr>
        <w:t xml:space="preserve">      </w:t>
      </w:r>
      <w:r w:rsidRPr="00D627DB">
        <w:rPr>
          <w:szCs w:val="24"/>
        </w:rPr>
        <w:tab/>
        <w:t xml:space="preserve">        (Authorized Representative of Jurisdiction)</w:t>
      </w:r>
    </w:p>
    <w:sectPr w:rsidR="0090041D" w:rsidRPr="00D627DB" w:rsidSect="00D627DB">
      <w:headerReference w:type="default" r:id="rId11"/>
      <w:headerReference w:type="first" r:id="rId12"/>
      <w:footerReference w:type="first" r:id="rId13"/>
      <w:type w:val="continuous"/>
      <w:pgSz w:w="12240" w:h="15840" w:code="1"/>
      <w:pgMar w:top="1440" w:right="1440" w:bottom="1440" w:left="1440" w:header="432" w:footer="37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A69F" w14:textId="77777777" w:rsidR="00681EBF" w:rsidRDefault="00681EBF">
      <w:r>
        <w:separator/>
      </w:r>
    </w:p>
  </w:endnote>
  <w:endnote w:type="continuationSeparator" w:id="0">
    <w:p w14:paraId="3578BC73" w14:textId="77777777" w:rsidR="00681EBF" w:rsidRDefault="0068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llerText RomanSC">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7F30" w14:textId="77777777" w:rsidR="00D627DB" w:rsidRDefault="00D627DB" w:rsidP="00201AB2">
    <w:pPr>
      <w:pStyle w:val="Footer"/>
      <w:jc w:val="center"/>
      <w:rPr>
        <w:rFonts w:ascii="Century Gothic" w:hAnsi="Century Gothic"/>
        <w:i/>
        <w:sz w:val="18"/>
        <w:szCs w:val="18"/>
      </w:rPr>
    </w:pPr>
  </w:p>
  <w:p w14:paraId="5069768B" w14:textId="2D46F8F4" w:rsidR="00201AB2" w:rsidRPr="00DB5FBD" w:rsidRDefault="00201AB2" w:rsidP="00201AB2">
    <w:pPr>
      <w:pStyle w:val="Footer"/>
      <w:jc w:val="center"/>
      <w:rPr>
        <w:rFonts w:ascii="Century Gothic" w:hAnsi="Century Gothic"/>
        <w:i/>
        <w:sz w:val="18"/>
        <w:szCs w:val="18"/>
      </w:rPr>
    </w:pPr>
    <w:r w:rsidRPr="00DB5FBD">
      <w:rPr>
        <w:rFonts w:ascii="Century Gothic" w:hAnsi="Century Gothic"/>
        <w:i/>
        <w:sz w:val="18"/>
        <w:szCs w:val="18"/>
      </w:rPr>
      <w:t>Wisconsin Elections Commissioners</w:t>
    </w:r>
  </w:p>
  <w:p w14:paraId="78F59C71" w14:textId="77777777" w:rsidR="00201AB2" w:rsidRPr="00DB5FBD" w:rsidRDefault="003A059A" w:rsidP="000A5B1F">
    <w:pPr>
      <w:pStyle w:val="Footer"/>
      <w:jc w:val="center"/>
      <w:rPr>
        <w:rFonts w:ascii="Century Gothic" w:hAnsi="Century Gothic"/>
        <w:sz w:val="18"/>
        <w:szCs w:val="18"/>
      </w:rPr>
    </w:pPr>
    <w:r w:rsidRPr="00DB5FBD">
      <w:rPr>
        <w:rFonts w:ascii="Century Gothic" w:hAnsi="Century Gothic"/>
        <w:sz w:val="18"/>
        <w:szCs w:val="18"/>
      </w:rPr>
      <w:t>Ann S. Jacobs</w:t>
    </w:r>
    <w:r w:rsidR="00201AB2">
      <w:rPr>
        <w:rFonts w:ascii="Century Gothic" w:hAnsi="Century Gothic"/>
        <w:sz w:val="18"/>
        <w:szCs w:val="18"/>
      </w:rPr>
      <w:t xml:space="preserve">, chair | </w:t>
    </w:r>
    <w:r w:rsidR="000A5B1F">
      <w:rPr>
        <w:rFonts w:ascii="Century Gothic" w:hAnsi="Century Gothic"/>
        <w:sz w:val="18"/>
        <w:szCs w:val="18"/>
      </w:rPr>
      <w:t>Marge Bostelman</w:t>
    </w:r>
    <w:r w:rsidR="005C0935">
      <w:rPr>
        <w:rFonts w:ascii="Century Gothic" w:hAnsi="Century Gothic"/>
        <w:sz w:val="18"/>
        <w:szCs w:val="18"/>
      </w:rPr>
      <w:t>n</w:t>
    </w:r>
    <w:r w:rsidR="000A5B1F">
      <w:rPr>
        <w:rFonts w:ascii="Century Gothic" w:hAnsi="Century Gothic"/>
        <w:sz w:val="18"/>
        <w:szCs w:val="18"/>
      </w:rPr>
      <w:t xml:space="preserve"> | </w:t>
    </w:r>
    <w:r w:rsidR="00201AB2" w:rsidRPr="00DB5FBD">
      <w:rPr>
        <w:rFonts w:ascii="Century Gothic" w:hAnsi="Century Gothic"/>
        <w:sz w:val="18"/>
        <w:szCs w:val="18"/>
      </w:rPr>
      <w:t>Julie M. Glancey |</w:t>
    </w:r>
    <w:r>
      <w:rPr>
        <w:rFonts w:ascii="Century Gothic" w:hAnsi="Century Gothic"/>
        <w:sz w:val="18"/>
        <w:szCs w:val="18"/>
      </w:rPr>
      <w:t xml:space="preserve"> Dean Knudson</w:t>
    </w:r>
    <w:r w:rsidR="00201AB2" w:rsidRPr="00DB5FBD">
      <w:rPr>
        <w:rFonts w:ascii="Century Gothic" w:hAnsi="Century Gothic"/>
        <w:sz w:val="18"/>
        <w:szCs w:val="18"/>
      </w:rPr>
      <w:t xml:space="preserve"> </w:t>
    </w:r>
    <w:r w:rsidR="00CC5A4E">
      <w:rPr>
        <w:rFonts w:ascii="Century Gothic" w:hAnsi="Century Gothic"/>
        <w:sz w:val="18"/>
        <w:szCs w:val="18"/>
      </w:rPr>
      <w:t>| Robert Spindell</w:t>
    </w:r>
    <w:r w:rsidR="00201AB2" w:rsidRPr="00DB5FBD">
      <w:rPr>
        <w:rFonts w:ascii="Century Gothic" w:hAnsi="Century Gothic"/>
        <w:sz w:val="18"/>
        <w:szCs w:val="18"/>
      </w:rPr>
      <w:t xml:space="preserve"> | Mark L. Thomsen</w:t>
    </w:r>
  </w:p>
  <w:p w14:paraId="017F951D" w14:textId="77777777" w:rsidR="00201AB2" w:rsidRPr="00DB5FBD" w:rsidRDefault="00201AB2" w:rsidP="000A5B1F">
    <w:pPr>
      <w:pStyle w:val="Header"/>
      <w:jc w:val="center"/>
      <w:rPr>
        <w:rFonts w:ascii="Century Gothic" w:hAnsi="Century Gothic"/>
        <w:sz w:val="18"/>
        <w:szCs w:val="18"/>
      </w:rPr>
    </w:pPr>
    <w:r w:rsidRPr="00DB5FBD">
      <w:rPr>
        <w:rFonts w:ascii="Century Gothic" w:hAnsi="Century Gothic"/>
        <w:sz w:val="18"/>
        <w:szCs w:val="18"/>
      </w:rPr>
      <w:t>__________________________________________________________________________________________</w:t>
    </w:r>
    <w:r w:rsidR="00DD3C7B">
      <w:rPr>
        <w:rFonts w:ascii="Century Gothic" w:hAnsi="Century Gothic"/>
        <w:sz w:val="18"/>
        <w:szCs w:val="18"/>
      </w:rPr>
      <w:t>____________</w:t>
    </w:r>
    <w:r w:rsidR="000A5B1F">
      <w:rPr>
        <w:rFonts w:ascii="Century Gothic" w:hAnsi="Century Gothic"/>
        <w:sz w:val="18"/>
        <w:szCs w:val="18"/>
      </w:rPr>
      <w:t>___</w:t>
    </w:r>
  </w:p>
  <w:p w14:paraId="168828F8" w14:textId="77777777" w:rsidR="00201AB2" w:rsidRPr="00DB5FBD" w:rsidRDefault="00201AB2" w:rsidP="00201AB2">
    <w:pPr>
      <w:pStyle w:val="Footer"/>
      <w:jc w:val="center"/>
      <w:rPr>
        <w:rFonts w:ascii="Century Gothic" w:hAnsi="Century Gothic"/>
        <w:i/>
        <w:sz w:val="18"/>
        <w:szCs w:val="18"/>
      </w:rPr>
    </w:pPr>
    <w:r w:rsidRPr="00DB5FBD">
      <w:rPr>
        <w:rFonts w:ascii="Century Gothic" w:hAnsi="Century Gothic"/>
        <w:i/>
        <w:sz w:val="18"/>
        <w:szCs w:val="18"/>
      </w:rPr>
      <w:t>Administrator</w:t>
    </w:r>
  </w:p>
  <w:p w14:paraId="009864C0" w14:textId="77777777" w:rsidR="00201AB2" w:rsidRDefault="00201AB2" w:rsidP="00201AB2">
    <w:pPr>
      <w:pStyle w:val="Footer"/>
      <w:jc w:val="center"/>
      <w:rPr>
        <w:rFonts w:ascii="Century Gothic" w:hAnsi="Century Gothic"/>
        <w:sz w:val="18"/>
        <w:szCs w:val="18"/>
      </w:rPr>
    </w:pPr>
    <w:r>
      <w:rPr>
        <w:rFonts w:ascii="Century Gothic" w:hAnsi="Century Gothic"/>
        <w:sz w:val="18"/>
        <w:szCs w:val="18"/>
      </w:rPr>
      <w:t>Meagan Wolfe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A6B4" w14:textId="77777777" w:rsidR="00681EBF" w:rsidRDefault="00681EBF">
      <w:r>
        <w:separator/>
      </w:r>
    </w:p>
  </w:footnote>
  <w:footnote w:type="continuationSeparator" w:id="0">
    <w:p w14:paraId="1FE3B39D" w14:textId="77777777" w:rsidR="00681EBF" w:rsidRDefault="0068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9F22" w14:textId="77777777" w:rsidR="00D627DB" w:rsidRDefault="00D627DB" w:rsidP="00D627DB">
    <w:pPr>
      <w:pStyle w:val="Header"/>
      <w:ind w:right="-360"/>
    </w:pPr>
  </w:p>
  <w:p w14:paraId="2B353412" w14:textId="39305661" w:rsidR="00D627DB" w:rsidRDefault="00D627DB" w:rsidP="00D627DB">
    <w:pPr>
      <w:pStyle w:val="Header"/>
      <w:ind w:right="-360"/>
    </w:pPr>
    <w:r w:rsidRPr="00D627DB">
      <w:t xml:space="preserve">County Cares </w:t>
    </w:r>
    <w:r>
      <w:t>f</w:t>
    </w:r>
    <w:r w:rsidRPr="00D627DB">
      <w:t xml:space="preserve">or Elections Subgrant Reimbursement Request Form </w:t>
    </w:r>
    <w:r>
      <w:t>a</w:t>
    </w:r>
    <w:r w:rsidRPr="00D627DB">
      <w:t>nd Certification</w:t>
    </w:r>
  </w:p>
  <w:p w14:paraId="52F5F628" w14:textId="44DB914D" w:rsidR="002730A2" w:rsidRDefault="00D627DB" w:rsidP="00D627DB">
    <w:pPr>
      <w:pStyle w:val="Header"/>
      <w:ind w:right="-360"/>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3662086C" w14:textId="69E9DBB7" w:rsidR="00D627DB" w:rsidRDefault="00D627DB" w:rsidP="00D627DB">
    <w:pPr>
      <w:pStyle w:val="Header"/>
      <w:ind w:right="-360"/>
      <w:rPr>
        <w:noProof/>
      </w:rPr>
    </w:pPr>
  </w:p>
  <w:p w14:paraId="4B9EFC6F" w14:textId="77777777" w:rsidR="00D627DB" w:rsidRDefault="00D627DB" w:rsidP="00D627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F728" w14:textId="14C7F329" w:rsidR="00D1608D" w:rsidRPr="0040682F" w:rsidRDefault="00D627DB" w:rsidP="003B3165">
    <w:pPr>
      <w:pStyle w:val="Header"/>
      <w:ind w:left="-720" w:right="-720"/>
      <w:jc w:val="center"/>
      <w:rPr>
        <w:sz w:val="32"/>
      </w:rPr>
    </w:pPr>
    <w:r>
      <w:rPr>
        <w:noProof/>
      </w:rPr>
      <w:drawing>
        <wp:anchor distT="0" distB="0" distL="114300" distR="114300" simplePos="0" relativeHeight="251658752" behindDoc="0" locked="0" layoutInCell="1" allowOverlap="1" wp14:anchorId="6DD591E3" wp14:editId="1E503B6B">
          <wp:simplePos x="0" y="0"/>
          <wp:positionH relativeFrom="column">
            <wp:posOffset>-308832</wp:posOffset>
          </wp:positionH>
          <wp:positionV relativeFrom="paragraph">
            <wp:posOffset>218326</wp:posOffset>
          </wp:positionV>
          <wp:extent cx="850265" cy="8502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_Logo_Greyscale.jpg"/>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anchor>
      </w:drawing>
    </w:r>
    <w:r w:rsidR="0040682F">
      <w:rPr>
        <w:rFonts w:ascii="MillerText RomanSC" w:hAnsi="MillerText RomanSC"/>
        <w:sz w:val="28"/>
      </w:rPr>
      <w:tab/>
    </w:r>
  </w:p>
  <w:p w14:paraId="3DFA8FC6" w14:textId="485F8D99" w:rsidR="005721B0" w:rsidRDefault="00DB5FBD" w:rsidP="003B3165">
    <w:pPr>
      <w:pStyle w:val="Header"/>
    </w:pPr>
    <w:r>
      <w:rPr>
        <w:noProof/>
      </w:rPr>
      <mc:AlternateContent>
        <mc:Choice Requires="wps">
          <w:drawing>
            <wp:anchor distT="0" distB="0" distL="114300" distR="114300" simplePos="0" relativeHeight="251657728" behindDoc="0" locked="0" layoutInCell="0" allowOverlap="1" wp14:anchorId="72C85F03" wp14:editId="0B5B5ACE">
              <wp:simplePos x="0" y="0"/>
              <wp:positionH relativeFrom="column">
                <wp:posOffset>956874</wp:posOffset>
              </wp:positionH>
              <wp:positionV relativeFrom="paragraph">
                <wp:posOffset>2540</wp:posOffset>
              </wp:positionV>
              <wp:extent cx="5302621" cy="89662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621" cy="896620"/>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2C1F5473" w14:textId="77777777" w:rsidR="0040682F" w:rsidRPr="008A1409" w:rsidRDefault="00EC4C08" w:rsidP="00EC4C08">
                          <w:pPr>
                            <w:pStyle w:val="Header"/>
                            <w:ind w:left="-720" w:right="-720"/>
                            <w:jc w:val="center"/>
                            <w:rPr>
                              <w:rFonts w:ascii="Century Gothic" w:hAnsi="Century Gothic"/>
                              <w:sz w:val="48"/>
                            </w:rPr>
                          </w:pPr>
                          <w:r>
                            <w:rPr>
                              <w:rFonts w:ascii="Century Gothic" w:hAnsi="Century Gothic"/>
                              <w:sz w:val="44"/>
                            </w:rPr>
                            <w:t xml:space="preserve">       </w:t>
                          </w:r>
                          <w:r w:rsidR="005E1917" w:rsidRPr="00EC4C08">
                            <w:rPr>
                              <w:rFonts w:ascii="Century Gothic" w:hAnsi="Century Gothic"/>
                              <w:sz w:val="48"/>
                            </w:rPr>
                            <w:t>Wisconsin Elections Commission</w:t>
                          </w:r>
                        </w:p>
                        <w:p w14:paraId="48F78636" w14:textId="77777777" w:rsidR="005721B0" w:rsidRPr="008A1409" w:rsidRDefault="005721B0" w:rsidP="0040682F">
                          <w:pPr>
                            <w:jc w:val="right"/>
                            <w:rPr>
                              <w:rFonts w:ascii="Century Gothic" w:hAnsi="Century Gothic"/>
                              <w:sz w:val="16"/>
                            </w:rPr>
                          </w:pPr>
                        </w:p>
                        <w:p w14:paraId="5AE49590" w14:textId="77777777" w:rsidR="0040682F" w:rsidRPr="00EC4C08" w:rsidRDefault="00D1608D" w:rsidP="0040682F">
                          <w:pPr>
                            <w:jc w:val="right"/>
                            <w:rPr>
                              <w:rFonts w:ascii="Century Gothic" w:hAnsi="Century Gothic"/>
                              <w:sz w:val="16"/>
                            </w:rPr>
                          </w:pPr>
                          <w:r w:rsidRPr="00EC4C08">
                            <w:rPr>
                              <w:rFonts w:ascii="Century Gothic" w:hAnsi="Century Gothic"/>
                              <w:sz w:val="16"/>
                            </w:rPr>
                            <w:t>2</w:t>
                          </w:r>
                          <w:r w:rsidR="0040682F" w:rsidRPr="00EC4C08">
                            <w:rPr>
                              <w:rFonts w:ascii="Century Gothic" w:hAnsi="Century Gothic"/>
                              <w:sz w:val="16"/>
                            </w:rPr>
                            <w:t>12 East Washington Avenue |</w:t>
                          </w:r>
                          <w:r w:rsidRPr="00EC4C08">
                            <w:rPr>
                              <w:rFonts w:ascii="Century Gothic" w:hAnsi="Century Gothic"/>
                              <w:sz w:val="16"/>
                            </w:rPr>
                            <w:t xml:space="preserve"> </w:t>
                          </w:r>
                          <w:r w:rsidR="00DB5FBD" w:rsidRPr="00EC4C08">
                            <w:rPr>
                              <w:rFonts w:ascii="Century Gothic" w:hAnsi="Century Gothic"/>
                              <w:sz w:val="16"/>
                            </w:rPr>
                            <w:t>T</w:t>
                          </w:r>
                          <w:r w:rsidR="00FC0081" w:rsidRPr="00EC4C08">
                            <w:rPr>
                              <w:rFonts w:ascii="Century Gothic" w:hAnsi="Century Gothic"/>
                              <w:sz w:val="16"/>
                            </w:rPr>
                            <w:t>hird</w:t>
                          </w:r>
                          <w:r w:rsidRPr="00EC4C08">
                            <w:rPr>
                              <w:rFonts w:ascii="Century Gothic" w:hAnsi="Century Gothic"/>
                              <w:sz w:val="16"/>
                            </w:rPr>
                            <w:t xml:space="preserve"> Floor</w:t>
                          </w:r>
                          <w:r w:rsidR="0040682F" w:rsidRPr="00EC4C08">
                            <w:rPr>
                              <w:rFonts w:ascii="Century Gothic" w:hAnsi="Century Gothic"/>
                              <w:sz w:val="16"/>
                            </w:rPr>
                            <w:t xml:space="preserve"> | </w:t>
                          </w:r>
                          <w:r w:rsidR="00FC0081" w:rsidRPr="00EC4C08">
                            <w:rPr>
                              <w:rFonts w:ascii="Century Gothic" w:hAnsi="Century Gothic"/>
                              <w:sz w:val="16"/>
                            </w:rPr>
                            <w:t>P.O.</w:t>
                          </w:r>
                          <w:r w:rsidRPr="00EC4C08">
                            <w:rPr>
                              <w:rFonts w:ascii="Century Gothic" w:hAnsi="Century Gothic"/>
                              <w:sz w:val="16"/>
                            </w:rPr>
                            <w:t xml:space="preserve"> Box 7984</w:t>
                          </w:r>
                          <w:r w:rsidR="00EE5973" w:rsidRPr="00EC4C08">
                            <w:rPr>
                              <w:rFonts w:ascii="Century Gothic" w:hAnsi="Century Gothic"/>
                              <w:sz w:val="16"/>
                            </w:rPr>
                            <w:t xml:space="preserve"> </w:t>
                          </w:r>
                          <w:r w:rsidR="0040682F" w:rsidRPr="00EC4C08">
                            <w:rPr>
                              <w:rFonts w:ascii="Century Gothic" w:hAnsi="Century Gothic"/>
                              <w:sz w:val="16"/>
                            </w:rPr>
                            <w:t xml:space="preserve">| </w:t>
                          </w:r>
                          <w:r w:rsidRPr="00EC4C08">
                            <w:rPr>
                              <w:rFonts w:ascii="Century Gothic" w:hAnsi="Century Gothic"/>
                              <w:sz w:val="16"/>
                            </w:rPr>
                            <w:t>Madison, WI  53707-7984</w:t>
                          </w:r>
                        </w:p>
                        <w:p w14:paraId="0E4AAE40" w14:textId="77777777" w:rsidR="00D1608D" w:rsidRPr="00EC4C08" w:rsidRDefault="00D1608D" w:rsidP="0040682F">
                          <w:pPr>
                            <w:jc w:val="right"/>
                            <w:rPr>
                              <w:rFonts w:ascii="Century Gothic" w:hAnsi="Century Gothic"/>
                              <w:sz w:val="18"/>
                            </w:rPr>
                          </w:pPr>
                          <w:r w:rsidRPr="00EC4C08">
                            <w:rPr>
                              <w:rFonts w:ascii="Century Gothic" w:hAnsi="Century Gothic"/>
                              <w:sz w:val="16"/>
                            </w:rPr>
                            <w:t>(608) 266-8005</w:t>
                          </w:r>
                          <w:r w:rsidR="00DB5FBD" w:rsidRPr="00EC4C08">
                            <w:rPr>
                              <w:rFonts w:ascii="Century Gothic" w:hAnsi="Century Gothic"/>
                              <w:sz w:val="16"/>
                            </w:rPr>
                            <w:t xml:space="preserve"> |</w:t>
                          </w:r>
                          <w:r w:rsidR="0040682F" w:rsidRPr="00EC4C08">
                            <w:rPr>
                              <w:rFonts w:ascii="Century Gothic" w:hAnsi="Century Gothic"/>
                              <w:sz w:val="16"/>
                            </w:rPr>
                            <w:t xml:space="preserve"> </w:t>
                          </w:r>
                          <w:r w:rsidR="005E1917" w:rsidRPr="00EC4C08">
                            <w:rPr>
                              <w:rFonts w:ascii="Century Gothic" w:hAnsi="Century Gothic"/>
                              <w:sz w:val="16"/>
                            </w:rPr>
                            <w:t>elections@wi.gov</w:t>
                          </w:r>
                          <w:r w:rsidR="00DB5FBD" w:rsidRPr="00EC4C08">
                            <w:rPr>
                              <w:rFonts w:ascii="Century Gothic" w:hAnsi="Century Gothic"/>
                              <w:sz w:val="16"/>
                            </w:rPr>
                            <w:t xml:space="preserve"> | </w:t>
                          </w:r>
                          <w:r w:rsidR="005E1917" w:rsidRPr="00EC4C08">
                            <w:rPr>
                              <w:rFonts w:ascii="Century Gothic" w:hAnsi="Century Gothic"/>
                              <w:sz w:val="16"/>
                            </w:rPr>
                            <w:t>elections</w:t>
                          </w:r>
                          <w:r w:rsidRPr="00EC4C08">
                            <w:rPr>
                              <w:rFonts w:ascii="Century Gothic" w:hAnsi="Century Gothic"/>
                              <w:sz w:val="16"/>
                            </w:rPr>
                            <w:t>.wi.gov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85F03" id="Rectangle 9" o:spid="_x0000_s1026" style="position:absolute;margin-left:75.35pt;margin-top:.2pt;width:417.5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" o:allowincell="f" stroked="f" strokecolor="#339">
              <v:textbox>
                <w:txbxContent>
                  <w:p w14:paraId="2C1F5473" w14:textId="77777777" w:rsidR="0040682F" w:rsidRPr="008A1409" w:rsidRDefault="00EC4C08" w:rsidP="00EC4C08">
                    <w:pPr>
                      <w:pStyle w:val="Header"/>
                      <w:ind w:left="-720" w:right="-720"/>
                      <w:jc w:val="center"/>
                      <w:rPr>
                        <w:rFonts w:ascii="Century Gothic" w:hAnsi="Century Gothic"/>
                        <w:sz w:val="48"/>
                      </w:rPr>
                    </w:pPr>
                    <w:r>
                      <w:rPr>
                        <w:rFonts w:ascii="Century Gothic" w:hAnsi="Century Gothic"/>
                        <w:sz w:val="44"/>
                      </w:rPr>
                      <w:t xml:space="preserve">       </w:t>
                    </w:r>
                    <w:r w:rsidR="005E1917" w:rsidRPr="00EC4C08">
                      <w:rPr>
                        <w:rFonts w:ascii="Century Gothic" w:hAnsi="Century Gothic"/>
                        <w:sz w:val="48"/>
                      </w:rPr>
                      <w:t>Wisconsin Elections Commission</w:t>
                    </w:r>
                  </w:p>
                  <w:p w14:paraId="48F78636" w14:textId="77777777" w:rsidR="005721B0" w:rsidRPr="008A1409" w:rsidRDefault="005721B0" w:rsidP="0040682F">
                    <w:pPr>
                      <w:jc w:val="right"/>
                      <w:rPr>
                        <w:rFonts w:ascii="Century Gothic" w:hAnsi="Century Gothic"/>
                        <w:sz w:val="16"/>
                      </w:rPr>
                    </w:pPr>
                  </w:p>
                  <w:p w14:paraId="5AE49590" w14:textId="77777777" w:rsidR="0040682F" w:rsidRPr="00EC4C08" w:rsidRDefault="00D1608D" w:rsidP="0040682F">
                    <w:pPr>
                      <w:jc w:val="right"/>
                      <w:rPr>
                        <w:rFonts w:ascii="Century Gothic" w:hAnsi="Century Gothic"/>
                        <w:sz w:val="16"/>
                      </w:rPr>
                    </w:pPr>
                    <w:r w:rsidRPr="00EC4C08">
                      <w:rPr>
                        <w:rFonts w:ascii="Century Gothic" w:hAnsi="Century Gothic"/>
                        <w:sz w:val="16"/>
                      </w:rPr>
                      <w:t>2</w:t>
                    </w:r>
                    <w:r w:rsidR="0040682F" w:rsidRPr="00EC4C08">
                      <w:rPr>
                        <w:rFonts w:ascii="Century Gothic" w:hAnsi="Century Gothic"/>
                        <w:sz w:val="16"/>
                      </w:rPr>
                      <w:t>12 East Washington Avenue |</w:t>
                    </w:r>
                    <w:r w:rsidRPr="00EC4C08">
                      <w:rPr>
                        <w:rFonts w:ascii="Century Gothic" w:hAnsi="Century Gothic"/>
                        <w:sz w:val="16"/>
                      </w:rPr>
                      <w:t xml:space="preserve"> </w:t>
                    </w:r>
                    <w:r w:rsidR="00DB5FBD" w:rsidRPr="00EC4C08">
                      <w:rPr>
                        <w:rFonts w:ascii="Century Gothic" w:hAnsi="Century Gothic"/>
                        <w:sz w:val="16"/>
                      </w:rPr>
                      <w:t>T</w:t>
                    </w:r>
                    <w:r w:rsidR="00FC0081" w:rsidRPr="00EC4C08">
                      <w:rPr>
                        <w:rFonts w:ascii="Century Gothic" w:hAnsi="Century Gothic"/>
                        <w:sz w:val="16"/>
                      </w:rPr>
                      <w:t>hird</w:t>
                    </w:r>
                    <w:r w:rsidRPr="00EC4C08">
                      <w:rPr>
                        <w:rFonts w:ascii="Century Gothic" w:hAnsi="Century Gothic"/>
                        <w:sz w:val="16"/>
                      </w:rPr>
                      <w:t xml:space="preserve"> Floor</w:t>
                    </w:r>
                    <w:r w:rsidR="0040682F" w:rsidRPr="00EC4C08">
                      <w:rPr>
                        <w:rFonts w:ascii="Century Gothic" w:hAnsi="Century Gothic"/>
                        <w:sz w:val="16"/>
                      </w:rPr>
                      <w:t xml:space="preserve"> | </w:t>
                    </w:r>
                    <w:r w:rsidR="00FC0081" w:rsidRPr="00EC4C08">
                      <w:rPr>
                        <w:rFonts w:ascii="Century Gothic" w:hAnsi="Century Gothic"/>
                        <w:sz w:val="16"/>
                      </w:rPr>
                      <w:t>P.O.</w:t>
                    </w:r>
                    <w:r w:rsidRPr="00EC4C08">
                      <w:rPr>
                        <w:rFonts w:ascii="Century Gothic" w:hAnsi="Century Gothic"/>
                        <w:sz w:val="16"/>
                      </w:rPr>
                      <w:t xml:space="preserve"> Box 7984</w:t>
                    </w:r>
                    <w:r w:rsidR="00EE5973" w:rsidRPr="00EC4C08">
                      <w:rPr>
                        <w:rFonts w:ascii="Century Gothic" w:hAnsi="Century Gothic"/>
                        <w:sz w:val="16"/>
                      </w:rPr>
                      <w:t xml:space="preserve"> </w:t>
                    </w:r>
                    <w:r w:rsidR="0040682F" w:rsidRPr="00EC4C08">
                      <w:rPr>
                        <w:rFonts w:ascii="Century Gothic" w:hAnsi="Century Gothic"/>
                        <w:sz w:val="16"/>
                      </w:rPr>
                      <w:t xml:space="preserve">| </w:t>
                    </w:r>
                    <w:r w:rsidRPr="00EC4C08">
                      <w:rPr>
                        <w:rFonts w:ascii="Century Gothic" w:hAnsi="Century Gothic"/>
                        <w:sz w:val="16"/>
                      </w:rPr>
                      <w:t>Madison, WI  53707-7984</w:t>
                    </w:r>
                  </w:p>
                  <w:p w14:paraId="0E4AAE40" w14:textId="77777777" w:rsidR="00D1608D" w:rsidRPr="00EC4C08" w:rsidRDefault="00D1608D" w:rsidP="0040682F">
                    <w:pPr>
                      <w:jc w:val="right"/>
                      <w:rPr>
                        <w:rFonts w:ascii="Century Gothic" w:hAnsi="Century Gothic"/>
                        <w:sz w:val="18"/>
                      </w:rPr>
                    </w:pPr>
                    <w:r w:rsidRPr="00EC4C08">
                      <w:rPr>
                        <w:rFonts w:ascii="Century Gothic" w:hAnsi="Century Gothic"/>
                        <w:sz w:val="16"/>
                      </w:rPr>
                      <w:t>(608) 266-8005</w:t>
                    </w:r>
                    <w:r w:rsidR="00DB5FBD" w:rsidRPr="00EC4C08">
                      <w:rPr>
                        <w:rFonts w:ascii="Century Gothic" w:hAnsi="Century Gothic"/>
                        <w:sz w:val="16"/>
                      </w:rPr>
                      <w:t xml:space="preserve"> |</w:t>
                    </w:r>
                    <w:r w:rsidR="0040682F" w:rsidRPr="00EC4C08">
                      <w:rPr>
                        <w:rFonts w:ascii="Century Gothic" w:hAnsi="Century Gothic"/>
                        <w:sz w:val="16"/>
                      </w:rPr>
                      <w:t xml:space="preserve"> </w:t>
                    </w:r>
                    <w:r w:rsidR="005E1917" w:rsidRPr="00EC4C08">
                      <w:rPr>
                        <w:rFonts w:ascii="Century Gothic" w:hAnsi="Century Gothic"/>
                        <w:sz w:val="16"/>
                      </w:rPr>
                      <w:t>elections@wi.gov</w:t>
                    </w:r>
                    <w:r w:rsidR="00DB5FBD" w:rsidRPr="00EC4C08">
                      <w:rPr>
                        <w:rFonts w:ascii="Century Gothic" w:hAnsi="Century Gothic"/>
                        <w:sz w:val="16"/>
                      </w:rPr>
                      <w:t xml:space="preserve"> | </w:t>
                    </w:r>
                    <w:r w:rsidR="005E1917" w:rsidRPr="00EC4C08">
                      <w:rPr>
                        <w:rFonts w:ascii="Century Gothic" w:hAnsi="Century Gothic"/>
                        <w:sz w:val="16"/>
                      </w:rPr>
                      <w:t>elections</w:t>
                    </w:r>
                    <w:r w:rsidRPr="00EC4C08">
                      <w:rPr>
                        <w:rFonts w:ascii="Century Gothic" w:hAnsi="Century Gothic"/>
                        <w:sz w:val="16"/>
                      </w:rPr>
                      <w:t>.wi.gov</w:t>
                    </w:r>
                  </w:p>
                </w:txbxContent>
              </v:textbox>
            </v:rect>
          </w:pict>
        </mc:Fallback>
      </mc:AlternateContent>
    </w:r>
    <w:r w:rsidR="00E96299">
      <w:t xml:space="preserve"> </w:t>
    </w:r>
    <w:r>
      <w:t xml:space="preserve">    </w:t>
    </w:r>
    <w:r w:rsidR="00E96299">
      <w:t xml:space="preserve">  </w:t>
    </w:r>
  </w:p>
  <w:p w14:paraId="506A7B64" w14:textId="7CC3AA40" w:rsidR="00D1608D" w:rsidRDefault="00D1608D" w:rsidP="003B3165">
    <w:pPr>
      <w:pStyle w:val="Header"/>
      <w:rPr>
        <w:rFonts w:ascii="MillerText RomanSC" w:hAnsi="MillerText RomanSC"/>
        <w:sz w:val="20"/>
      </w:rPr>
    </w:pPr>
    <w:r w:rsidRPr="005721B0">
      <w:rPr>
        <w:rFonts w:ascii="MillerText RomanSC" w:hAnsi="MillerText RomanSC"/>
        <w:sz w:val="20"/>
      </w:rPr>
      <w:t>__________________________________________________________________________________________</w:t>
    </w:r>
    <w:r w:rsidR="009475D2">
      <w:rPr>
        <w:rFonts w:ascii="MillerText RomanSC" w:hAnsi="MillerText RomanSC"/>
        <w:sz w:val="20"/>
      </w:rPr>
      <w:t>___</w:t>
    </w:r>
  </w:p>
  <w:p w14:paraId="200C8AB7" w14:textId="77777777" w:rsidR="00BA4D12" w:rsidRPr="005721B0" w:rsidRDefault="00BA4D12" w:rsidP="003B3165">
    <w:pPr>
      <w:pStyle w:val="Header"/>
      <w:rPr>
        <w:rFonts w:ascii="MillerText RomanSC" w:hAnsi="MillerText RomanS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342"/>
    <w:multiLevelType w:val="hybridMultilevel"/>
    <w:tmpl w:val="3B2A172E"/>
    <w:lvl w:ilvl="0" w:tplc="80EE9E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65EE7"/>
    <w:multiLevelType w:val="hybridMultilevel"/>
    <w:tmpl w:val="6CB26294"/>
    <w:lvl w:ilvl="0" w:tplc="3278A3CE">
      <w:start w:val="1"/>
      <w:numFmt w:val="upperLetter"/>
      <w:lvlText w:val="%1."/>
      <w:lvlJc w:val="left"/>
      <w:pPr>
        <w:tabs>
          <w:tab w:val="num" w:pos="1800"/>
        </w:tabs>
        <w:ind w:left="1800" w:hanging="360"/>
      </w:pPr>
      <w:rPr>
        <w:rFonts w:hint="default"/>
      </w:rPr>
    </w:lvl>
    <w:lvl w:ilvl="1" w:tplc="F15257A2">
      <w:start w:val="1"/>
      <w:numFmt w:val="decimal"/>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0803FA5"/>
    <w:multiLevelType w:val="hybridMultilevel"/>
    <w:tmpl w:val="E0FA8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80072"/>
    <w:multiLevelType w:val="hybridMultilevel"/>
    <w:tmpl w:val="9E440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C3058"/>
    <w:multiLevelType w:val="hybridMultilevel"/>
    <w:tmpl w:val="382C4D6C"/>
    <w:lvl w:ilvl="0" w:tplc="04090015">
      <w:start w:val="1"/>
      <w:numFmt w:val="upperLetter"/>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31FAB"/>
    <w:multiLevelType w:val="hybridMultilevel"/>
    <w:tmpl w:val="13CCDD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125540"/>
    <w:multiLevelType w:val="hybridMultilevel"/>
    <w:tmpl w:val="79EA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B34E7"/>
    <w:multiLevelType w:val="hybridMultilevel"/>
    <w:tmpl w:val="6268AE9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106C6"/>
    <w:multiLevelType w:val="hybridMultilevel"/>
    <w:tmpl w:val="F76210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930968"/>
    <w:multiLevelType w:val="hybridMultilevel"/>
    <w:tmpl w:val="BF3A8E3A"/>
    <w:lvl w:ilvl="0" w:tplc="6AA006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575050"/>
    <w:multiLevelType w:val="hybridMultilevel"/>
    <w:tmpl w:val="A4D6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AF77D6"/>
    <w:multiLevelType w:val="hybridMultilevel"/>
    <w:tmpl w:val="DED8B1CE"/>
    <w:lvl w:ilvl="0" w:tplc="D14E57B2">
      <w:start w:val="202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A342C"/>
    <w:multiLevelType w:val="hybridMultilevel"/>
    <w:tmpl w:val="544C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A4ECD"/>
    <w:multiLevelType w:val="hybridMultilevel"/>
    <w:tmpl w:val="8FFC3D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AC2FFC"/>
    <w:multiLevelType w:val="hybridMultilevel"/>
    <w:tmpl w:val="4180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849D5"/>
    <w:multiLevelType w:val="hybridMultilevel"/>
    <w:tmpl w:val="7B3875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090F3D"/>
    <w:multiLevelType w:val="hybridMultilevel"/>
    <w:tmpl w:val="0F22115C"/>
    <w:lvl w:ilvl="0" w:tplc="4A02BC3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14B19"/>
    <w:multiLevelType w:val="hybridMultilevel"/>
    <w:tmpl w:val="B4862E28"/>
    <w:lvl w:ilvl="0" w:tplc="04090013">
      <w:start w:val="1"/>
      <w:numFmt w:val="upperRoman"/>
      <w:lvlText w:val="%1."/>
      <w:lvlJc w:val="right"/>
      <w:pPr>
        <w:tabs>
          <w:tab w:val="num" w:pos="1080"/>
        </w:tabs>
        <w:ind w:left="1080" w:hanging="180"/>
      </w:pPr>
    </w:lvl>
    <w:lvl w:ilvl="1" w:tplc="FFC4B5B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B6195B"/>
    <w:multiLevelType w:val="hybridMultilevel"/>
    <w:tmpl w:val="FFE8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7"/>
  </w:num>
  <w:num w:numId="4">
    <w:abstractNumId w:val="1"/>
  </w:num>
  <w:num w:numId="5">
    <w:abstractNumId w:val="2"/>
  </w:num>
  <w:num w:numId="6">
    <w:abstractNumId w:val="5"/>
  </w:num>
  <w:num w:numId="7">
    <w:abstractNumId w:val="15"/>
  </w:num>
  <w:num w:numId="8">
    <w:abstractNumId w:val="13"/>
  </w:num>
  <w:num w:numId="9">
    <w:abstractNumId w:val="8"/>
  </w:num>
  <w:num w:numId="10">
    <w:abstractNumId w:val="3"/>
  </w:num>
  <w:num w:numId="11">
    <w:abstractNumId w:val="12"/>
  </w:num>
  <w:num w:numId="12">
    <w:abstractNumId w:val="16"/>
  </w:num>
  <w:num w:numId="13">
    <w:abstractNumId w:val="4"/>
  </w:num>
  <w:num w:numId="14">
    <w:abstractNumId w:val="6"/>
  </w:num>
  <w:num w:numId="15">
    <w:abstractNumId w:val="18"/>
  </w:num>
  <w:num w:numId="16">
    <w:abstractNumId w:val="14"/>
  </w:num>
  <w:num w:numId="17">
    <w:abstractNumId w:val="1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BF"/>
    <w:rsid w:val="0000661B"/>
    <w:rsid w:val="0002137C"/>
    <w:rsid w:val="00021912"/>
    <w:rsid w:val="000451A8"/>
    <w:rsid w:val="00062917"/>
    <w:rsid w:val="00076CEC"/>
    <w:rsid w:val="00083091"/>
    <w:rsid w:val="00095500"/>
    <w:rsid w:val="000A5B1F"/>
    <w:rsid w:val="000B326B"/>
    <w:rsid w:val="000D2C6E"/>
    <w:rsid w:val="000D6C1B"/>
    <w:rsid w:val="000F23D0"/>
    <w:rsid w:val="00154C70"/>
    <w:rsid w:val="001626DB"/>
    <w:rsid w:val="001A6A2C"/>
    <w:rsid w:val="001B2390"/>
    <w:rsid w:val="00201AB2"/>
    <w:rsid w:val="00210A7C"/>
    <w:rsid w:val="002315B9"/>
    <w:rsid w:val="00232363"/>
    <w:rsid w:val="002376A2"/>
    <w:rsid w:val="00242134"/>
    <w:rsid w:val="00244409"/>
    <w:rsid w:val="00252633"/>
    <w:rsid w:val="0026768B"/>
    <w:rsid w:val="002730A2"/>
    <w:rsid w:val="002806B7"/>
    <w:rsid w:val="00286F08"/>
    <w:rsid w:val="00296232"/>
    <w:rsid w:val="002C5124"/>
    <w:rsid w:val="002C5BA5"/>
    <w:rsid w:val="002E04D7"/>
    <w:rsid w:val="002E2C73"/>
    <w:rsid w:val="002F786E"/>
    <w:rsid w:val="00320B72"/>
    <w:rsid w:val="00327CEC"/>
    <w:rsid w:val="00330B03"/>
    <w:rsid w:val="003329B3"/>
    <w:rsid w:val="0033461A"/>
    <w:rsid w:val="003474B2"/>
    <w:rsid w:val="0036156A"/>
    <w:rsid w:val="00376F49"/>
    <w:rsid w:val="003860DC"/>
    <w:rsid w:val="003A059A"/>
    <w:rsid w:val="003B1745"/>
    <w:rsid w:val="003B3165"/>
    <w:rsid w:val="003C0162"/>
    <w:rsid w:val="003C3BFB"/>
    <w:rsid w:val="003C418E"/>
    <w:rsid w:val="003E4B8A"/>
    <w:rsid w:val="004014AC"/>
    <w:rsid w:val="0040682F"/>
    <w:rsid w:val="004362DD"/>
    <w:rsid w:val="00437E6D"/>
    <w:rsid w:val="004863B7"/>
    <w:rsid w:val="004929DD"/>
    <w:rsid w:val="004F1601"/>
    <w:rsid w:val="005024FE"/>
    <w:rsid w:val="00503EF8"/>
    <w:rsid w:val="005200AE"/>
    <w:rsid w:val="005519B8"/>
    <w:rsid w:val="00560796"/>
    <w:rsid w:val="00564C88"/>
    <w:rsid w:val="005721B0"/>
    <w:rsid w:val="005725E9"/>
    <w:rsid w:val="00573AD9"/>
    <w:rsid w:val="005803A9"/>
    <w:rsid w:val="0058688C"/>
    <w:rsid w:val="00591C09"/>
    <w:rsid w:val="00596C06"/>
    <w:rsid w:val="0059724D"/>
    <w:rsid w:val="005A1891"/>
    <w:rsid w:val="005C0306"/>
    <w:rsid w:val="005C0935"/>
    <w:rsid w:val="005C7CAD"/>
    <w:rsid w:val="005E1917"/>
    <w:rsid w:val="0060513F"/>
    <w:rsid w:val="00612891"/>
    <w:rsid w:val="0061472F"/>
    <w:rsid w:val="00616D8E"/>
    <w:rsid w:val="00617BF5"/>
    <w:rsid w:val="006419F3"/>
    <w:rsid w:val="006579F7"/>
    <w:rsid w:val="00681EBF"/>
    <w:rsid w:val="006960E3"/>
    <w:rsid w:val="006A041D"/>
    <w:rsid w:val="006E5B74"/>
    <w:rsid w:val="006F3DB9"/>
    <w:rsid w:val="006F7995"/>
    <w:rsid w:val="0074307F"/>
    <w:rsid w:val="00743F52"/>
    <w:rsid w:val="00747869"/>
    <w:rsid w:val="00753377"/>
    <w:rsid w:val="00774951"/>
    <w:rsid w:val="00790A9C"/>
    <w:rsid w:val="007A69E0"/>
    <w:rsid w:val="007B6CF2"/>
    <w:rsid w:val="007C4B9D"/>
    <w:rsid w:val="007F36D8"/>
    <w:rsid w:val="0081554C"/>
    <w:rsid w:val="008214FD"/>
    <w:rsid w:val="00847B10"/>
    <w:rsid w:val="00863DDF"/>
    <w:rsid w:val="008666F9"/>
    <w:rsid w:val="00871A1A"/>
    <w:rsid w:val="00873872"/>
    <w:rsid w:val="008A1409"/>
    <w:rsid w:val="008B05FC"/>
    <w:rsid w:val="008B21D2"/>
    <w:rsid w:val="008D1F7E"/>
    <w:rsid w:val="008D3A25"/>
    <w:rsid w:val="0090041D"/>
    <w:rsid w:val="00906CAF"/>
    <w:rsid w:val="0091630C"/>
    <w:rsid w:val="0093029B"/>
    <w:rsid w:val="0093284A"/>
    <w:rsid w:val="00941CAE"/>
    <w:rsid w:val="009475D2"/>
    <w:rsid w:val="0095698C"/>
    <w:rsid w:val="00993A19"/>
    <w:rsid w:val="009A7E31"/>
    <w:rsid w:val="009C5EA4"/>
    <w:rsid w:val="009D73C6"/>
    <w:rsid w:val="009E71E0"/>
    <w:rsid w:val="00A069E1"/>
    <w:rsid w:val="00A20650"/>
    <w:rsid w:val="00A217D7"/>
    <w:rsid w:val="00A61D67"/>
    <w:rsid w:val="00AB4DC2"/>
    <w:rsid w:val="00AE42B2"/>
    <w:rsid w:val="00AF2B28"/>
    <w:rsid w:val="00B1170B"/>
    <w:rsid w:val="00B1348D"/>
    <w:rsid w:val="00B37813"/>
    <w:rsid w:val="00B56AA3"/>
    <w:rsid w:val="00BA4D12"/>
    <w:rsid w:val="00BA6C87"/>
    <w:rsid w:val="00BB50B6"/>
    <w:rsid w:val="00BF2089"/>
    <w:rsid w:val="00BF670C"/>
    <w:rsid w:val="00C00005"/>
    <w:rsid w:val="00C03018"/>
    <w:rsid w:val="00C17F61"/>
    <w:rsid w:val="00C354AA"/>
    <w:rsid w:val="00C519CF"/>
    <w:rsid w:val="00C54948"/>
    <w:rsid w:val="00C56591"/>
    <w:rsid w:val="00C6675D"/>
    <w:rsid w:val="00C7318C"/>
    <w:rsid w:val="00C80A9F"/>
    <w:rsid w:val="00C81981"/>
    <w:rsid w:val="00C826A8"/>
    <w:rsid w:val="00C902DD"/>
    <w:rsid w:val="00CA29F4"/>
    <w:rsid w:val="00CC5A4E"/>
    <w:rsid w:val="00CC7945"/>
    <w:rsid w:val="00CE3F06"/>
    <w:rsid w:val="00D03FAB"/>
    <w:rsid w:val="00D1608D"/>
    <w:rsid w:val="00D56C5A"/>
    <w:rsid w:val="00D57FF2"/>
    <w:rsid w:val="00D627DB"/>
    <w:rsid w:val="00D71BD0"/>
    <w:rsid w:val="00DA067B"/>
    <w:rsid w:val="00DB5FBD"/>
    <w:rsid w:val="00DC6DCC"/>
    <w:rsid w:val="00DD3C7B"/>
    <w:rsid w:val="00DE4F1B"/>
    <w:rsid w:val="00DF343E"/>
    <w:rsid w:val="00E010A7"/>
    <w:rsid w:val="00E4228F"/>
    <w:rsid w:val="00E434E3"/>
    <w:rsid w:val="00E85FEB"/>
    <w:rsid w:val="00E96299"/>
    <w:rsid w:val="00EA362A"/>
    <w:rsid w:val="00EA5862"/>
    <w:rsid w:val="00EA64BF"/>
    <w:rsid w:val="00EC4C08"/>
    <w:rsid w:val="00EE5973"/>
    <w:rsid w:val="00EF1FC8"/>
    <w:rsid w:val="00F26912"/>
    <w:rsid w:val="00F33AAD"/>
    <w:rsid w:val="00F35033"/>
    <w:rsid w:val="00F62BDC"/>
    <w:rsid w:val="00F650E0"/>
    <w:rsid w:val="00F706EF"/>
    <w:rsid w:val="00F70B0D"/>
    <w:rsid w:val="00F71F2F"/>
    <w:rsid w:val="00F75699"/>
    <w:rsid w:val="00F7733D"/>
    <w:rsid w:val="00F93DBA"/>
    <w:rsid w:val="00F97402"/>
    <w:rsid w:val="00FB2AF1"/>
    <w:rsid w:val="00FC0081"/>
    <w:rsid w:val="00FD0D5C"/>
    <w:rsid w:val="00FD3FFE"/>
    <w:rsid w:val="00FE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E900BF"/>
  <w15:docId w15:val="{F57B170E-423F-4E62-9B76-87BF5B7E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41D"/>
    <w:rPr>
      <w:sz w:val="24"/>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line="240" w:lineRule="atLeast"/>
      <w:ind w:left="720" w:right="907"/>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Salutation">
    <w:name w:val="Salutation"/>
    <w:basedOn w:val="BodyText"/>
    <w:next w:val="Normal"/>
    <w:pPr>
      <w:spacing w:before="220" w:after="220" w:line="220" w:lineRule="atLeast"/>
    </w:pPr>
    <w:rPr>
      <w:spacing w:val="-5"/>
    </w:rPr>
  </w:style>
  <w:style w:type="paragraph" w:customStyle="1" w:styleId="ReturnAddress">
    <w:name w:val="Return Address"/>
    <w:basedOn w:val="Normal"/>
    <w:pPr>
      <w:keepLines/>
      <w:framePr w:w="2866" w:h="965" w:wrap="around" w:vAnchor="page" w:hAnchor="page" w:x="8497" w:y="1873" w:anchorLock="1"/>
      <w:tabs>
        <w:tab w:val="left" w:pos="2160"/>
      </w:tabs>
      <w:spacing w:line="160" w:lineRule="atLeast"/>
      <w:jc w:val="right"/>
    </w:pPr>
    <w:rPr>
      <w:rFonts w:ascii="Arial Black" w:hAnsi="Arial Black"/>
      <w:sz w:val="14"/>
    </w:r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BodyTextChar">
    <w:name w:val="Body Text Char"/>
    <w:link w:val="BodyText"/>
    <w:rsid w:val="00210A7C"/>
    <w:rPr>
      <w:sz w:val="24"/>
    </w:rPr>
  </w:style>
  <w:style w:type="paragraph" w:styleId="BalloonText">
    <w:name w:val="Balloon Text"/>
    <w:basedOn w:val="Normal"/>
    <w:link w:val="BalloonTextChar"/>
    <w:rsid w:val="006A041D"/>
    <w:rPr>
      <w:rFonts w:ascii="Tahoma" w:hAnsi="Tahoma" w:cs="Tahoma"/>
      <w:sz w:val="16"/>
      <w:szCs w:val="16"/>
    </w:rPr>
  </w:style>
  <w:style w:type="character" w:customStyle="1" w:styleId="BalloonTextChar">
    <w:name w:val="Balloon Text Char"/>
    <w:link w:val="BalloonText"/>
    <w:rsid w:val="006A041D"/>
    <w:rPr>
      <w:rFonts w:ascii="Tahoma" w:hAnsi="Tahoma" w:cs="Tahoma"/>
      <w:sz w:val="16"/>
      <w:szCs w:val="16"/>
    </w:rPr>
  </w:style>
  <w:style w:type="character" w:customStyle="1" w:styleId="FooterChar">
    <w:name w:val="Footer Char"/>
    <w:link w:val="Footer"/>
    <w:uiPriority w:val="99"/>
    <w:rsid w:val="0040682F"/>
    <w:rPr>
      <w:sz w:val="24"/>
    </w:rPr>
  </w:style>
  <w:style w:type="paragraph" w:styleId="ListParagraph">
    <w:name w:val="List Paragraph"/>
    <w:basedOn w:val="Normal"/>
    <w:uiPriority w:val="34"/>
    <w:qFormat/>
    <w:rsid w:val="0090041D"/>
    <w:pPr>
      <w:ind w:left="720"/>
      <w:contextualSpacing/>
    </w:pPr>
    <w:rPr>
      <w:rFonts w:asciiTheme="minorHAnsi" w:eastAsiaTheme="minorHAnsi" w:hAnsiTheme="minorHAnsi" w:cstheme="minorBidi"/>
      <w:szCs w:val="22"/>
    </w:rPr>
  </w:style>
  <w:style w:type="paragraph" w:customStyle="1" w:styleId="Default">
    <w:name w:val="Default"/>
    <w:rsid w:val="0090041D"/>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2730A2"/>
    <w:rPr>
      <w:sz w:val="24"/>
    </w:rPr>
  </w:style>
  <w:style w:type="character" w:styleId="UnresolvedMention">
    <w:name w:val="Unresolved Mention"/>
    <w:basedOn w:val="DefaultParagraphFont"/>
    <w:uiPriority w:val="99"/>
    <w:semiHidden/>
    <w:unhideWhenUsed/>
    <w:rsid w:val="00612891"/>
    <w:rPr>
      <w:color w:val="605E5C"/>
      <w:shd w:val="clear" w:color="auto" w:fill="E1DFDD"/>
    </w:rPr>
  </w:style>
  <w:style w:type="table" w:styleId="TableGrid">
    <w:name w:val="Table Grid"/>
    <w:basedOn w:val="TableNormal"/>
    <w:rsid w:val="0043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6866">
      <w:bodyDiv w:val="1"/>
      <w:marLeft w:val="0"/>
      <w:marRight w:val="0"/>
      <w:marTop w:val="0"/>
      <w:marBottom w:val="0"/>
      <w:divBdr>
        <w:top w:val="none" w:sz="0" w:space="0" w:color="auto"/>
        <w:left w:val="none" w:sz="0" w:space="0" w:color="auto"/>
        <w:bottom w:val="none" w:sz="0" w:space="0" w:color="auto"/>
        <w:right w:val="none" w:sz="0" w:space="0" w:color="auto"/>
      </w:divBdr>
    </w:div>
    <w:div w:id="221715617">
      <w:bodyDiv w:val="1"/>
      <w:marLeft w:val="0"/>
      <w:marRight w:val="0"/>
      <w:marTop w:val="0"/>
      <w:marBottom w:val="0"/>
      <w:divBdr>
        <w:top w:val="none" w:sz="0" w:space="0" w:color="auto"/>
        <w:left w:val="none" w:sz="0" w:space="0" w:color="auto"/>
        <w:bottom w:val="none" w:sz="0" w:space="0" w:color="auto"/>
        <w:right w:val="none" w:sz="0" w:space="0" w:color="auto"/>
      </w:divBdr>
    </w:div>
    <w:div w:id="6864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finance@wi.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ctions.finance@wi.gov" TargetMode="External"/><Relationship Id="rId4" Type="http://schemas.openxmlformats.org/officeDocument/2006/relationships/settings" Target="settings.xml"/><Relationship Id="rId9" Type="http://schemas.openxmlformats.org/officeDocument/2006/relationships/hyperlink" Target="https://www.govinfo.gov/app/collection/cfr/201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ccounts\SASI\Files\ELEC\Templates\Elections%20Commission\WEC%20Letterhead%20Jun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CEDF-965A-46FB-A6EB-4B00FBBB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WEC Letterhead June 2020</Template>
  <TotalTime>246</TotalTime>
  <Pages>4</Pages>
  <Words>1275</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State of Wisconsin \ Elections Board</vt:lpstr>
    </vt:vector>
  </TitlesOfParts>
  <Company>The State of Wisconsin</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 Elections Board</dc:title>
  <dc:creator>Billingham, Julia - ELECTIONS</dc:creator>
  <cp:lastModifiedBy>Kehoe, Robert Y - ELECTIONS</cp:lastModifiedBy>
  <cp:revision>27</cp:revision>
  <cp:lastPrinted>2020-06-17T01:29:00Z</cp:lastPrinted>
  <dcterms:created xsi:type="dcterms:W3CDTF">2020-11-06T17:27:00Z</dcterms:created>
  <dcterms:modified xsi:type="dcterms:W3CDTF">2020-11-09T20:55:00Z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1323373457</vt:i4>
  </property>
  <property fmtid="{D5CDD505-2E9C-101B-9397-08002B2CF9AE}" pid="3" name="_NewReviewCycle">
    <vt:lpwstr/>
  </property>
  <property fmtid="{D5CDD505-2E9C-101B-9397-08002B2CF9AE}" pid="4" name="_EmailSubject">
    <vt:lpwstr>GAB merger letter.doc</vt:lpwstr>
  </property>
  <property fmtid="{D5CDD505-2E9C-101B-9397-08002B2CF9AE}" pid="5" name="_AuthorEmail">
    <vt:lpwstr>patricia.thysse@wisconsin.gov</vt:lpwstr>
  </property>
  <property fmtid="{D5CDD505-2E9C-101B-9397-08002B2CF9AE}" pid="6" name="_AuthorEmailDisplayName">
    <vt:lpwstr>Thysse, Patricia - DOA</vt:lpwstr>
  </property>
  <property fmtid="{D5CDD505-2E9C-101B-9397-08002B2CF9AE}" pid="7" name="_ReviewingToolsShownOnce">
    <vt:lpwstr/>
  </property>
</Properties>
</file>